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24E53" w14:textId="5C75514F" w:rsidR="005C21DD" w:rsidRPr="00EB0F0D" w:rsidRDefault="005C21DD" w:rsidP="005C21DD">
      <w:pPr>
        <w:jc w:val="center"/>
        <w:rPr>
          <w:rFonts w:ascii="Calibri" w:hAnsi="Calibri" w:cs="Calibri"/>
          <w:b/>
          <w:bCs/>
        </w:rPr>
      </w:pPr>
      <w:r w:rsidRPr="00EB0F0D">
        <w:rPr>
          <w:rFonts w:ascii="Calibri" w:hAnsi="Calibri" w:cs="Calibri"/>
          <w:b/>
          <w:bCs/>
        </w:rPr>
        <w:t>File 12_</w:t>
      </w:r>
      <w:r w:rsidRPr="00EB0F0D">
        <w:rPr>
          <w:rFonts w:ascii="Calibri" w:hAnsi="Calibri" w:cs="Calibri"/>
          <w:b/>
          <w:bCs/>
        </w:rPr>
        <w:t>azone_hhsize_targets.csv</w:t>
      </w:r>
    </w:p>
    <w:p w14:paraId="47F8069C" w14:textId="17CD486B" w:rsidR="005C21DD" w:rsidRPr="00EB0F0D" w:rsidRDefault="005C21DD" w:rsidP="005C21DD">
      <w:pPr>
        <w:jc w:val="center"/>
        <w:rPr>
          <w:rFonts w:ascii="Calibri" w:hAnsi="Calibri" w:cs="Calibri"/>
          <w:b/>
          <w:bCs/>
        </w:rPr>
      </w:pPr>
      <w:r w:rsidRPr="00EB0F0D">
        <w:rPr>
          <w:rFonts w:ascii="Calibri" w:hAnsi="Calibri" w:cs="Calibri"/>
          <w:b/>
          <w:bCs/>
        </w:rPr>
        <w:t>April 10, 2026</w:t>
      </w:r>
    </w:p>
    <w:p w14:paraId="08505478" w14:textId="77777777" w:rsidR="005C21DD" w:rsidRPr="00EB0F0D" w:rsidRDefault="005C21DD" w:rsidP="005C21DD">
      <w:pPr>
        <w:tabs>
          <w:tab w:val="num" w:pos="720"/>
        </w:tabs>
        <w:spacing w:line="240" w:lineRule="auto"/>
        <w:rPr>
          <w:rFonts w:ascii="Calibri" w:hAnsi="Calibri" w:cs="Calibri"/>
          <w:b/>
          <w:bCs/>
        </w:rPr>
      </w:pPr>
      <w:r w:rsidRPr="00EB0F0D">
        <w:rPr>
          <w:rFonts w:ascii="Calibri" w:hAnsi="Calibri" w:cs="Calibri"/>
          <w:b/>
          <w:bCs/>
        </w:rPr>
        <w:t>Definition of the Input File</w:t>
      </w:r>
    </w:p>
    <w:p w14:paraId="22E63BA2" w14:textId="12300C32" w:rsidR="005C21DD" w:rsidRPr="00EB0F0D" w:rsidRDefault="005C21DD" w:rsidP="005C21DD">
      <w:pPr>
        <w:rPr>
          <w:rFonts w:ascii="Calibri" w:eastAsia="Calibri" w:hAnsi="Calibri" w:cs="Calibri"/>
          <w:color w:val="000000" w:themeColor="text1"/>
        </w:rPr>
      </w:pPr>
      <w:r w:rsidRPr="00EB0F0D">
        <w:rPr>
          <w:rFonts w:ascii="Calibri" w:hAnsi="Calibri" w:cs="Calibri"/>
        </w:rPr>
        <w:tab/>
        <w:t>VisionEval (</w:t>
      </w:r>
      <w:hyperlink r:id="rId7" w:history="1">
        <w:r w:rsidRPr="00EB0F0D">
          <w:rPr>
            <w:rStyle w:val="Hyperlink"/>
            <w:rFonts w:ascii="Calibri" w:hAnsi="Calibri" w:cs="Calibri"/>
          </w:rPr>
          <w:t>https://visioneval.github.io/docs/model-inputs.html</w:t>
        </w:r>
      </w:hyperlink>
      <w:r w:rsidRPr="00EB0F0D">
        <w:rPr>
          <w:rFonts w:ascii="Calibri" w:hAnsi="Calibri" w:cs="Calibri"/>
        </w:rPr>
        <w:t>)</w:t>
      </w:r>
      <w:r w:rsidRPr="00EB0F0D">
        <w:rPr>
          <w:rFonts w:ascii="Calibri" w:hAnsi="Calibri" w:cs="Calibri"/>
        </w:rPr>
        <w:t xml:space="preserve"> explains that t</w:t>
      </w:r>
      <w:r w:rsidRPr="00EB0F0D">
        <w:rPr>
          <w:rFonts w:ascii="Calibri" w:hAnsi="Calibri" w:cs="Calibri"/>
        </w:rPr>
        <w:t>his file contains information on non-group quarters households</w:t>
      </w:r>
      <w:r w:rsidRPr="00EB0F0D">
        <w:rPr>
          <w:rFonts w:ascii="Calibri" w:hAnsi="Calibri" w:cs="Calibri"/>
        </w:rPr>
        <w:t xml:space="preserve"> and provides </w:t>
      </w:r>
      <w:r w:rsidRPr="00EB0F0D">
        <w:rPr>
          <w:rFonts w:ascii="Calibri" w:eastAsia="Calibri" w:hAnsi="Calibri" w:cs="Calibri"/>
          <w:color w:val="000000" w:themeColor="text1"/>
        </w:rPr>
        <w:t>household-specific targets for the population synthesizer. This file contains two attributes:</w:t>
      </w:r>
    </w:p>
    <w:p w14:paraId="758A851F" w14:textId="77777777" w:rsidR="005C21DD" w:rsidRPr="00EB0F0D" w:rsidRDefault="005C21DD" w:rsidP="005C21DD">
      <w:pPr>
        <w:pStyle w:val="ListParagraph"/>
        <w:numPr>
          <w:ilvl w:val="0"/>
          <w:numId w:val="1"/>
        </w:numPr>
        <w:rPr>
          <w:rFonts w:ascii="Calibri" w:eastAsia="Calibri" w:hAnsi="Calibri" w:cs="Calibri"/>
          <w:color w:val="000000" w:themeColor="text1"/>
        </w:rPr>
      </w:pPr>
      <w:r w:rsidRPr="00EB0F0D">
        <w:rPr>
          <w:rFonts w:ascii="Calibri" w:eastAsia="Calibri" w:hAnsi="Calibri" w:cs="Calibri"/>
          <w:color w:val="000000" w:themeColor="text1"/>
        </w:rPr>
        <w:t>AveHhSize: Average household size for non-group quarters households</w:t>
      </w:r>
    </w:p>
    <w:p w14:paraId="5E21FD35" w14:textId="0CFEAE8B" w:rsidR="005C21DD" w:rsidRPr="00EB0F0D" w:rsidRDefault="005C21DD" w:rsidP="005C21DD">
      <w:pPr>
        <w:pStyle w:val="ListParagraph"/>
        <w:numPr>
          <w:ilvl w:val="0"/>
          <w:numId w:val="1"/>
        </w:numPr>
        <w:rPr>
          <w:rFonts w:ascii="Calibri" w:eastAsia="Calibri" w:hAnsi="Calibri" w:cs="Calibri"/>
          <w:color w:val="000000" w:themeColor="text1"/>
        </w:rPr>
      </w:pPr>
      <w:r w:rsidRPr="00EB0F0D">
        <w:rPr>
          <w:rFonts w:ascii="Calibri" w:eastAsia="Calibri" w:hAnsi="Calibri" w:cs="Calibri"/>
          <w:color w:val="000000" w:themeColor="text1"/>
        </w:rPr>
        <w:t>Prop1PerHh: Proportion of non-group quarters households having only one person</w:t>
      </w:r>
    </w:p>
    <w:p w14:paraId="7AE58D00" w14:textId="4B902DCA" w:rsidR="005C21DD" w:rsidRPr="00EB0F0D" w:rsidRDefault="005C21DD" w:rsidP="005C21DD">
      <w:pPr>
        <w:ind w:firstLine="720"/>
        <w:rPr>
          <w:rFonts w:ascii="Calibri" w:eastAsia="Calibri" w:hAnsi="Calibri" w:cs="Calibri"/>
          <w:color w:val="000000" w:themeColor="text1"/>
        </w:rPr>
      </w:pPr>
      <w:r w:rsidRPr="00EB0F0D">
        <w:rPr>
          <w:rFonts w:ascii="Calibri" w:eastAsia="Calibri" w:hAnsi="Calibri" w:cs="Calibri"/>
          <w:color w:val="000000" w:themeColor="text1"/>
        </w:rPr>
        <w:t xml:space="preserve">For example, the data below suggest that households in Albemarle County and Charlottesville City are growing in terms of size, with the average household size increasing slightly in Albemarle (and the proportion of one-person households therefore dropping), and more dramatically increasing in the City of Charlottesville.  By contrast, the average household size in Alleghany County is dropping (and the </w:t>
      </w:r>
      <w:r w:rsidR="00EB0F0D" w:rsidRPr="00EB0F0D">
        <w:rPr>
          <w:rFonts w:ascii="Calibri" w:eastAsia="Calibri" w:hAnsi="Calibri" w:cs="Calibri"/>
          <w:color w:val="000000" w:themeColor="text1"/>
        </w:rPr>
        <w:t>proportion</w:t>
      </w:r>
      <w:r w:rsidRPr="00EB0F0D">
        <w:rPr>
          <w:rFonts w:ascii="Calibri" w:eastAsia="Calibri" w:hAnsi="Calibri" w:cs="Calibri"/>
          <w:color w:val="000000" w:themeColor="text1"/>
        </w:rPr>
        <w:t xml:space="preserve"> of one-person households is increasing.)</w:t>
      </w:r>
    </w:p>
    <w:p w14:paraId="35512A1C" w14:textId="13B99E17" w:rsidR="005C21DD" w:rsidRPr="00EB0F0D" w:rsidRDefault="005C21DD" w:rsidP="005C21DD">
      <w:pPr>
        <w:rPr>
          <w:rFonts w:ascii="Calibri" w:hAnsi="Calibri" w:cs="Calibri"/>
        </w:rPr>
      </w:pPr>
      <w:r w:rsidRPr="00EB0F0D">
        <w:rPr>
          <w:rFonts w:ascii="Calibri" w:hAnsi="Calibri" w:cs="Calibri"/>
        </w:rPr>
        <w:drawing>
          <wp:inline distT="0" distB="0" distL="0" distR="0" wp14:anchorId="52F2A395" wp14:editId="417A730E">
            <wp:extent cx="2934109" cy="1352739"/>
            <wp:effectExtent l="0" t="0" r="0" b="0"/>
            <wp:docPr id="57342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20976" name=""/>
                    <pic:cNvPicPr/>
                  </pic:nvPicPr>
                  <pic:blipFill>
                    <a:blip r:embed="rId8"/>
                    <a:stretch>
                      <a:fillRect/>
                    </a:stretch>
                  </pic:blipFill>
                  <pic:spPr>
                    <a:xfrm>
                      <a:off x="0" y="0"/>
                      <a:ext cx="2934109" cy="1352739"/>
                    </a:xfrm>
                    <a:prstGeom prst="rect">
                      <a:avLst/>
                    </a:prstGeom>
                  </pic:spPr>
                </pic:pic>
              </a:graphicData>
            </a:graphic>
          </wp:inline>
        </w:drawing>
      </w:r>
    </w:p>
    <w:p w14:paraId="55900B48" w14:textId="77777777" w:rsidR="005C21DD" w:rsidRPr="00EB0F0D" w:rsidRDefault="005C21DD" w:rsidP="005C21DD">
      <w:pPr>
        <w:tabs>
          <w:tab w:val="num" w:pos="720"/>
        </w:tabs>
        <w:spacing w:line="240" w:lineRule="auto"/>
        <w:rPr>
          <w:rFonts w:ascii="Calibri" w:hAnsi="Calibri" w:cs="Calibri"/>
          <w:b/>
          <w:bCs/>
          <w:noProof/>
        </w:rPr>
      </w:pPr>
      <w:r w:rsidRPr="00EB0F0D">
        <w:rPr>
          <w:rFonts w:ascii="Calibri" w:hAnsi="Calibri" w:cs="Calibri"/>
          <w:b/>
          <w:bCs/>
          <w:noProof/>
        </w:rPr>
        <w:t>Possible Scenario</w:t>
      </w:r>
    </w:p>
    <w:p w14:paraId="54E3F53D" w14:textId="3DF6CCF3" w:rsidR="00EB0F0D" w:rsidRPr="00EB0F0D" w:rsidRDefault="005C21DD" w:rsidP="005C21DD">
      <w:pPr>
        <w:tabs>
          <w:tab w:val="num" w:pos="720"/>
        </w:tabs>
        <w:spacing w:line="240" w:lineRule="auto"/>
        <w:rPr>
          <w:rFonts w:ascii="Calibri" w:hAnsi="Calibri" w:cs="Calibri"/>
          <w:noProof/>
        </w:rPr>
      </w:pPr>
      <w:r w:rsidRPr="00EB0F0D">
        <w:rPr>
          <w:rFonts w:ascii="Calibri" w:hAnsi="Calibri" w:cs="Calibri"/>
          <w:noProof/>
        </w:rPr>
        <w:tab/>
        <w:t xml:space="preserve">One possible scenario in VisionEval based on this input file is to examine how </w:t>
      </w:r>
      <w:r w:rsidR="00EB0F0D" w:rsidRPr="00EB0F0D">
        <w:rPr>
          <w:rFonts w:ascii="Calibri" w:hAnsi="Calibri" w:cs="Calibri"/>
          <w:noProof/>
        </w:rPr>
        <w:t xml:space="preserve">changes in household size may affect travel demand.  For example, one would expect different travel impacts from a set of 50 households with two persons per household than from a set of 100 households with one person per household.  </w:t>
      </w:r>
      <w:r w:rsidR="00EB0F0D" w:rsidRPr="00EB0F0D">
        <w:rPr>
          <w:rFonts w:ascii="Calibri" w:hAnsi="Calibri" w:cs="Calibri"/>
        </w:rPr>
        <w:t>The document Task 7.2 Simplified Scenario Development guide</w:t>
      </w:r>
      <w:r w:rsidR="00EB0F0D" w:rsidRPr="00EB0F0D">
        <w:rPr>
          <w:rFonts w:ascii="Calibri" w:hAnsi="Calibri" w:cs="Calibri"/>
        </w:rPr>
        <w:t xml:space="preserve">, </w:t>
      </w:r>
      <w:r w:rsidR="00EB0F0D" w:rsidRPr="00EB0F0D">
        <w:rPr>
          <w:rFonts w:ascii="Calibri" w:hAnsi="Calibri" w:cs="Calibri"/>
        </w:rPr>
        <w:t>available at </w:t>
      </w:r>
      <w:hyperlink r:id="rId9" w:tgtFrame="_blank" w:history="1">
        <w:r w:rsidR="00EB0F0D" w:rsidRPr="00EB0F0D">
          <w:rPr>
            <w:rStyle w:val="Hyperlink"/>
            <w:rFonts w:ascii="Calibri" w:hAnsi="Calibri" w:cs="Calibri"/>
          </w:rPr>
          <w:t>A Playbook for Simplified Approaches for Creating Scenarios in VisionEval</w:t>
        </w:r>
      </w:hyperlink>
      <w:r w:rsidR="00EB0F0D" w:rsidRPr="00EB0F0D">
        <w:rPr>
          <w:rFonts w:ascii="Calibri" w:hAnsi="Calibri" w:cs="Calibri"/>
        </w:rPr>
        <w:t>, explains that “</w:t>
      </w:r>
      <w:r w:rsidR="00EB0F0D" w:rsidRPr="00EB0F0D">
        <w:rPr>
          <w:rFonts w:ascii="Calibri" w:hAnsi="Calibri" w:cs="Calibri"/>
          <w:noProof/>
        </w:rPr>
        <w:t>While the base year populations often come from established data sources (e.g., Census) the future year population inputs can be modified to experiment with different assumptions about future population growth and demographic composition.</w:t>
      </w:r>
      <w:r w:rsidR="00EB0F0D" w:rsidRPr="00EB0F0D">
        <w:rPr>
          <w:rFonts w:ascii="Calibri" w:hAnsi="Calibri" w:cs="Calibri"/>
          <w:noProof/>
        </w:rPr>
        <w:t>”</w:t>
      </w:r>
    </w:p>
    <w:p w14:paraId="03D3C081" w14:textId="73BE7A96" w:rsidR="002E71F7" w:rsidRPr="00EB0F0D" w:rsidRDefault="002E71F7" w:rsidP="444B22A9">
      <w:pPr>
        <w:rPr>
          <w:rFonts w:ascii="Calibri" w:eastAsia="Calibri" w:hAnsi="Calibri" w:cs="Calibri"/>
          <w:b/>
          <w:bCs/>
          <w:color w:val="000000" w:themeColor="text1"/>
        </w:rPr>
      </w:pPr>
      <w:r w:rsidRPr="00EB0F0D">
        <w:rPr>
          <w:rFonts w:ascii="Calibri" w:eastAsia="Calibri" w:hAnsi="Calibri" w:cs="Calibri"/>
          <w:b/>
          <w:bCs/>
          <w:color w:val="000000" w:themeColor="text1"/>
        </w:rPr>
        <w:t>Method Used for Virginia</w:t>
      </w:r>
    </w:p>
    <w:p w14:paraId="4BC67099" w14:textId="55DBBD1B" w:rsidR="002E71F7" w:rsidRPr="00EB0F0D" w:rsidRDefault="002E71F7" w:rsidP="444B22A9">
      <w:pPr>
        <w:rPr>
          <w:rFonts w:ascii="Calibri" w:eastAsia="Calibri" w:hAnsi="Calibri" w:cs="Calibri"/>
          <w:i/>
          <w:iCs/>
          <w:color w:val="000000" w:themeColor="text1"/>
        </w:rPr>
      </w:pPr>
      <w:r w:rsidRPr="00EB0F0D">
        <w:rPr>
          <w:rFonts w:ascii="Calibri" w:eastAsia="Calibri" w:hAnsi="Calibri" w:cs="Calibri"/>
          <w:i/>
          <w:iCs/>
          <w:color w:val="000000" w:themeColor="text1"/>
        </w:rPr>
        <w:t>Base Year</w:t>
      </w:r>
    </w:p>
    <w:p w14:paraId="1500CB5A" w14:textId="1D55E025" w:rsidR="57DF1C98" w:rsidRPr="00EB0F0D" w:rsidRDefault="5D06A9FF" w:rsidP="00EB0F0D">
      <w:pPr>
        <w:ind w:firstLine="720"/>
        <w:rPr>
          <w:rFonts w:ascii="Calibri" w:eastAsia="Calibri" w:hAnsi="Calibri" w:cs="Calibri"/>
        </w:rPr>
      </w:pPr>
      <w:r w:rsidRPr="00EB0F0D">
        <w:rPr>
          <w:rFonts w:ascii="Calibri" w:eastAsia="Calibri" w:hAnsi="Calibri" w:cs="Calibri"/>
          <w:color w:val="000000" w:themeColor="text1"/>
        </w:rPr>
        <w:t xml:space="preserve">To obtain AveHhSize, </w:t>
      </w:r>
      <w:hyperlink r:id="rId10">
        <w:r w:rsidRPr="00EB0F0D">
          <w:rPr>
            <w:rStyle w:val="Hyperlink"/>
            <w:rFonts w:ascii="Calibri" w:eastAsia="Calibri" w:hAnsi="Calibri" w:cs="Calibri"/>
          </w:rPr>
          <w:t xml:space="preserve">Table </w:t>
        </w:r>
        <w:r w:rsidR="2DC1D662" w:rsidRPr="00EB0F0D">
          <w:rPr>
            <w:rStyle w:val="Hyperlink"/>
            <w:rFonts w:ascii="Calibri" w:eastAsia="Calibri" w:hAnsi="Calibri" w:cs="Calibri"/>
          </w:rPr>
          <w:t>B25010: Average Household Size of Occupied Housing Units by Tenure</w:t>
        </w:r>
      </w:hyperlink>
      <w:r w:rsidR="2DC1D662" w:rsidRPr="00EB0F0D">
        <w:rPr>
          <w:rFonts w:ascii="Calibri" w:eastAsia="Calibri" w:hAnsi="Calibri" w:cs="Calibri"/>
          <w:color w:val="000000" w:themeColor="text1"/>
        </w:rPr>
        <w:t xml:space="preserve"> from the US Census Bureau</w:t>
      </w:r>
      <w:r w:rsidR="002E71F7" w:rsidRPr="00EB0F0D">
        <w:rPr>
          <w:rFonts w:ascii="Calibri" w:eastAsia="Calibri" w:hAnsi="Calibri" w:cs="Calibri"/>
          <w:color w:val="000000" w:themeColor="text1"/>
        </w:rPr>
        <w:t xml:space="preserve"> was used</w:t>
      </w:r>
      <w:r w:rsidR="2DC1D662" w:rsidRPr="00EB0F0D">
        <w:rPr>
          <w:rFonts w:ascii="Calibri" w:eastAsia="Calibri" w:hAnsi="Calibri" w:cs="Calibri"/>
          <w:color w:val="000000" w:themeColor="text1"/>
        </w:rPr>
        <w:t xml:space="preserve">. The base data is from </w:t>
      </w:r>
      <w:proofErr w:type="gramStart"/>
      <w:r w:rsidR="2DC1D662" w:rsidRPr="00EB0F0D">
        <w:rPr>
          <w:rFonts w:ascii="Calibri" w:eastAsia="Calibri" w:hAnsi="Calibri" w:cs="Calibri"/>
          <w:color w:val="000000" w:themeColor="text1"/>
        </w:rPr>
        <w:t>2023</w:t>
      </w:r>
      <w:proofErr w:type="gramEnd"/>
      <w:r w:rsidR="002E71F7" w:rsidRPr="00EB0F0D">
        <w:rPr>
          <w:rFonts w:ascii="Calibri" w:eastAsia="Calibri" w:hAnsi="Calibri" w:cs="Calibri"/>
          <w:color w:val="000000" w:themeColor="text1"/>
        </w:rPr>
        <w:t xml:space="preserve"> and the </w:t>
      </w:r>
      <w:r w:rsidR="1FA33550" w:rsidRPr="00EB0F0D">
        <w:rPr>
          <w:rFonts w:ascii="Calibri" w:eastAsia="Calibri" w:hAnsi="Calibri" w:cs="Calibri"/>
          <w:color w:val="000000" w:themeColor="text1"/>
        </w:rPr>
        <w:t xml:space="preserve">total average household size </w:t>
      </w:r>
      <w:r w:rsidR="002E71F7" w:rsidRPr="00EB0F0D">
        <w:rPr>
          <w:rFonts w:ascii="Calibri" w:eastAsia="Calibri" w:hAnsi="Calibri" w:cs="Calibri"/>
          <w:color w:val="000000" w:themeColor="text1"/>
        </w:rPr>
        <w:t xml:space="preserve">was used.  </w:t>
      </w:r>
      <w:r w:rsidR="1E3A16B3" w:rsidRPr="00EB0F0D">
        <w:rPr>
          <w:rFonts w:ascii="Calibri" w:eastAsia="Calibri" w:hAnsi="Calibri" w:cs="Calibri"/>
          <w:color w:val="000000" w:themeColor="text1"/>
        </w:rPr>
        <w:t xml:space="preserve">To obtain Prop1PerHh by Azone, </w:t>
      </w:r>
      <w:hyperlink r:id="rId11">
        <w:r w:rsidR="1E3A16B3" w:rsidRPr="00EB0F0D">
          <w:rPr>
            <w:rStyle w:val="Hyperlink"/>
            <w:rFonts w:ascii="Calibri" w:eastAsia="Calibri" w:hAnsi="Calibri" w:cs="Calibri"/>
          </w:rPr>
          <w:t>Table S2501: Occupancy Characteristics</w:t>
        </w:r>
      </w:hyperlink>
      <w:r w:rsidR="1E3A16B3" w:rsidRPr="00EB0F0D">
        <w:rPr>
          <w:rFonts w:ascii="Calibri" w:eastAsia="Calibri" w:hAnsi="Calibri" w:cs="Calibri"/>
          <w:color w:val="000000" w:themeColor="text1"/>
        </w:rPr>
        <w:t xml:space="preserve"> from the US Census Bureau</w:t>
      </w:r>
      <w:r w:rsidR="002E71F7" w:rsidRPr="00EB0F0D">
        <w:rPr>
          <w:rFonts w:ascii="Calibri" w:eastAsia="Calibri" w:hAnsi="Calibri" w:cs="Calibri"/>
          <w:color w:val="000000" w:themeColor="text1"/>
        </w:rPr>
        <w:t xml:space="preserve"> was used where again, the </w:t>
      </w:r>
      <w:r w:rsidR="1E3A16B3" w:rsidRPr="00EB0F0D">
        <w:rPr>
          <w:rFonts w:ascii="Calibri" w:eastAsia="Calibri" w:hAnsi="Calibri" w:cs="Calibri"/>
          <w:color w:val="000000" w:themeColor="text1"/>
        </w:rPr>
        <w:t xml:space="preserve">base data </w:t>
      </w:r>
      <w:r w:rsidR="002E71F7" w:rsidRPr="00EB0F0D">
        <w:rPr>
          <w:rFonts w:ascii="Calibri" w:eastAsia="Calibri" w:hAnsi="Calibri" w:cs="Calibri"/>
          <w:color w:val="000000" w:themeColor="text1"/>
        </w:rPr>
        <w:t>are</w:t>
      </w:r>
      <w:r w:rsidR="1E3A16B3" w:rsidRPr="00EB0F0D">
        <w:rPr>
          <w:rFonts w:ascii="Calibri" w:eastAsia="Calibri" w:hAnsi="Calibri" w:cs="Calibri"/>
          <w:color w:val="000000" w:themeColor="text1"/>
        </w:rPr>
        <w:t xml:space="preserve"> from 2023. </w:t>
      </w:r>
      <w:r w:rsidR="57DF1C98" w:rsidRPr="00EB0F0D">
        <w:rPr>
          <w:rFonts w:ascii="Calibri" w:eastAsia="Calibri" w:hAnsi="Calibri" w:cs="Calibri"/>
        </w:rPr>
        <w:t xml:space="preserve">To calculate Prop1PerHh, </w:t>
      </w:r>
      <w:r w:rsidR="002E71F7" w:rsidRPr="00EB0F0D">
        <w:rPr>
          <w:rFonts w:ascii="Calibri" w:eastAsia="Calibri" w:hAnsi="Calibri" w:cs="Calibri"/>
        </w:rPr>
        <w:t>this equation was used:</w:t>
      </w:r>
    </w:p>
    <w:p w14:paraId="5E48A355" w14:textId="464FDC82" w:rsidR="57DF1C98" w:rsidRPr="00EB0F0D" w:rsidRDefault="57DF1C98" w:rsidP="002E71F7">
      <w:pPr>
        <w:ind w:firstLine="720"/>
        <w:rPr>
          <w:rFonts w:ascii="Calibri" w:eastAsia="Calibri" w:hAnsi="Calibri" w:cs="Calibri"/>
        </w:rPr>
      </w:pPr>
      <w:r w:rsidRPr="00EB0F0D">
        <w:rPr>
          <w:rFonts w:ascii="Calibri" w:eastAsia="Calibri" w:hAnsi="Calibri" w:cs="Calibri"/>
        </w:rPr>
        <w:t xml:space="preserve">Prop1PerHh = </w:t>
      </w:r>
      <m:oMath>
        <m:f>
          <m:fPr>
            <m:ctrlPr>
              <w:rPr>
                <w:rFonts w:ascii="Cambria Math" w:hAnsi="Cambria Math" w:cs="Calibri"/>
              </w:rPr>
            </m:ctrlPr>
          </m:fPr>
          <m:num>
            <m:r>
              <w:rPr>
                <w:rFonts w:ascii="Cambria Math" w:hAnsi="Cambria Math" w:cs="Calibri"/>
              </w:rPr>
              <m:t>1 person households</m:t>
            </m:r>
          </m:num>
          <m:den>
            <m:r>
              <w:rPr>
                <w:rFonts w:ascii="Cambria Math" w:hAnsi="Cambria Math" w:cs="Calibri"/>
              </w:rPr>
              <m:t>Total households</m:t>
            </m:r>
          </m:den>
        </m:f>
      </m:oMath>
    </w:p>
    <w:p w14:paraId="48A6897D" w14:textId="537A44B3" w:rsidR="0A8ACD6D" w:rsidRPr="00EB0F0D" w:rsidRDefault="0A8ACD6D" w:rsidP="00EB0F0D">
      <w:pPr>
        <w:ind w:firstLine="720"/>
        <w:rPr>
          <w:rFonts w:ascii="Calibri" w:eastAsia="Calibri" w:hAnsi="Calibri" w:cs="Calibri"/>
        </w:rPr>
      </w:pPr>
      <w:r w:rsidRPr="00EB0F0D">
        <w:rPr>
          <w:rFonts w:ascii="Calibri" w:eastAsia="Calibri" w:hAnsi="Calibri" w:cs="Calibri"/>
        </w:rPr>
        <w:lastRenderedPageBreak/>
        <w:t xml:space="preserve">To </w:t>
      </w:r>
      <w:r w:rsidR="002E71F7" w:rsidRPr="00EB0F0D">
        <w:rPr>
          <w:rFonts w:ascii="Calibri" w:eastAsia="Calibri" w:hAnsi="Calibri" w:cs="Calibri"/>
        </w:rPr>
        <w:t xml:space="preserve">convert these 2023 values to 2024, a short term trendline </w:t>
      </w:r>
      <w:r w:rsidR="2D4FDCF9" w:rsidRPr="00EB0F0D">
        <w:rPr>
          <w:rFonts w:ascii="Calibri" w:eastAsia="Calibri" w:hAnsi="Calibri" w:cs="Calibri"/>
        </w:rPr>
        <w:t xml:space="preserve">for the three years prior to the </w:t>
      </w:r>
      <w:r w:rsidR="15CB259E" w:rsidRPr="00EB0F0D">
        <w:rPr>
          <w:rFonts w:ascii="Calibri" w:eastAsia="Calibri" w:hAnsi="Calibri" w:cs="Calibri"/>
        </w:rPr>
        <w:t xml:space="preserve">base </w:t>
      </w:r>
      <w:r w:rsidR="2D4FDCF9" w:rsidRPr="00EB0F0D">
        <w:rPr>
          <w:rFonts w:ascii="Calibri" w:eastAsia="Calibri" w:hAnsi="Calibri" w:cs="Calibri"/>
        </w:rPr>
        <w:t>data year (2020, 2021, and 2022)</w:t>
      </w:r>
      <w:r w:rsidR="002E71F7" w:rsidRPr="00EB0F0D">
        <w:rPr>
          <w:rFonts w:ascii="Calibri" w:eastAsia="Calibri" w:hAnsi="Calibri" w:cs="Calibri"/>
        </w:rPr>
        <w:t xml:space="preserve"> was developed, and </w:t>
      </w:r>
      <w:r w:rsidR="2D4FDCF9" w:rsidRPr="00EB0F0D">
        <w:rPr>
          <w:rFonts w:ascii="Calibri" w:eastAsia="Calibri" w:hAnsi="Calibri" w:cs="Calibri"/>
        </w:rPr>
        <w:t xml:space="preserve">Excel </w:t>
      </w:r>
      <w:r w:rsidR="002E71F7" w:rsidRPr="00EB0F0D">
        <w:rPr>
          <w:rFonts w:ascii="Calibri" w:eastAsia="Calibri" w:hAnsi="Calibri" w:cs="Calibri"/>
        </w:rPr>
        <w:t xml:space="preserve">was used </w:t>
      </w:r>
      <w:r w:rsidR="2D4FDCF9" w:rsidRPr="00EB0F0D">
        <w:rPr>
          <w:rFonts w:ascii="Calibri" w:eastAsia="Calibri" w:hAnsi="Calibri" w:cs="Calibri"/>
        </w:rPr>
        <w:t>to calculate the slope of these data over the 4 years</w:t>
      </w:r>
      <w:r w:rsidR="0180075C" w:rsidRPr="00EB0F0D">
        <w:rPr>
          <w:rFonts w:ascii="Calibri" w:eastAsia="Calibri" w:hAnsi="Calibri" w:cs="Calibri"/>
        </w:rPr>
        <w:t xml:space="preserve"> for each </w:t>
      </w:r>
      <w:proofErr w:type="gramStart"/>
      <w:r w:rsidR="0180075C" w:rsidRPr="00EB0F0D">
        <w:rPr>
          <w:rFonts w:ascii="Calibri" w:eastAsia="Calibri" w:hAnsi="Calibri" w:cs="Calibri"/>
        </w:rPr>
        <w:t>Azone</w:t>
      </w:r>
      <w:r w:rsidR="2D4FDCF9" w:rsidRPr="00EB0F0D">
        <w:rPr>
          <w:rFonts w:ascii="Calibri" w:eastAsia="Calibri" w:hAnsi="Calibri" w:cs="Calibri"/>
        </w:rPr>
        <w:t>, and</w:t>
      </w:r>
      <w:proofErr w:type="gramEnd"/>
      <w:r w:rsidR="2D4FDCF9" w:rsidRPr="00EB0F0D">
        <w:rPr>
          <w:rFonts w:ascii="Calibri" w:eastAsia="Calibri" w:hAnsi="Calibri" w:cs="Calibri"/>
        </w:rPr>
        <w:t xml:space="preserve"> added/subtracted that from the 2023 </w:t>
      </w:r>
      <w:r w:rsidR="4730014C" w:rsidRPr="00EB0F0D">
        <w:rPr>
          <w:rFonts w:ascii="Calibri" w:eastAsia="Calibri" w:hAnsi="Calibri" w:cs="Calibri"/>
        </w:rPr>
        <w:t xml:space="preserve">data. </w:t>
      </w:r>
      <w:r w:rsidR="4B9C6B70" w:rsidRPr="00EB0F0D">
        <w:rPr>
          <w:rFonts w:ascii="Calibri" w:eastAsia="Calibri" w:hAnsi="Calibri" w:cs="Calibri"/>
        </w:rPr>
        <w:t>On average</w:t>
      </w:r>
      <w:r w:rsidR="4730014C" w:rsidRPr="00EB0F0D">
        <w:rPr>
          <w:rFonts w:ascii="Calibri" w:eastAsia="Calibri" w:hAnsi="Calibri" w:cs="Calibri"/>
        </w:rPr>
        <w:t>, this resulted in a small negative slope for AveHhSize</w:t>
      </w:r>
      <w:r w:rsidR="1D1D8D31" w:rsidRPr="00EB0F0D">
        <w:rPr>
          <w:rFonts w:ascii="Calibri" w:eastAsia="Calibri" w:hAnsi="Calibri" w:cs="Calibri"/>
        </w:rPr>
        <w:t xml:space="preserve"> and a small positive slope for Prop1PerHh</w:t>
      </w:r>
      <w:r w:rsidR="002E71F7" w:rsidRPr="00EB0F0D">
        <w:rPr>
          <w:rFonts w:ascii="Calibri" w:eastAsia="Calibri" w:hAnsi="Calibri" w:cs="Calibri"/>
        </w:rPr>
        <w:t>.</w:t>
      </w:r>
    </w:p>
    <w:p w14:paraId="07EA37F9" w14:textId="3C18C0CA" w:rsidR="4A0F8DBC" w:rsidRPr="00EB0F0D" w:rsidRDefault="4A0F8DBC" w:rsidP="00EB0F0D">
      <w:pPr>
        <w:ind w:firstLine="720"/>
        <w:rPr>
          <w:rFonts w:ascii="Calibri" w:eastAsia="Calibri" w:hAnsi="Calibri" w:cs="Calibri"/>
        </w:rPr>
      </w:pPr>
      <w:r w:rsidRPr="00EB0F0D">
        <w:rPr>
          <w:rFonts w:ascii="Calibri" w:eastAsia="Calibri" w:hAnsi="Calibri" w:cs="Calibri"/>
        </w:rPr>
        <w:t>Here is a snapshot of the intermediate file used to estimate the 2024 data for AveHhSize:</w:t>
      </w:r>
    </w:p>
    <w:p w14:paraId="62BA49B9" w14:textId="1C0DC4C5" w:rsidR="4A0F8DBC" w:rsidRPr="00EB0F0D" w:rsidRDefault="4A0F8DBC" w:rsidP="444B22A9">
      <w:pPr>
        <w:rPr>
          <w:rFonts w:ascii="Calibri" w:eastAsia="Calibri" w:hAnsi="Calibri" w:cs="Calibri"/>
        </w:rPr>
      </w:pPr>
      <w:r w:rsidRPr="00EB0F0D">
        <w:rPr>
          <w:rFonts w:ascii="Calibri" w:hAnsi="Calibri" w:cs="Calibri"/>
          <w:noProof/>
        </w:rPr>
        <w:drawing>
          <wp:inline distT="0" distB="0" distL="0" distR="0" wp14:anchorId="262CBFE8" wp14:editId="6913D7A8">
            <wp:extent cx="5943600" cy="1266825"/>
            <wp:effectExtent l="0" t="0" r="0" b="0"/>
            <wp:docPr id="15574208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20899"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1266825"/>
                    </a:xfrm>
                    <a:prstGeom prst="rect">
                      <a:avLst/>
                    </a:prstGeom>
                  </pic:spPr>
                </pic:pic>
              </a:graphicData>
            </a:graphic>
          </wp:inline>
        </w:drawing>
      </w:r>
    </w:p>
    <w:p w14:paraId="06401E8E" w14:textId="067118E9" w:rsidR="002E71F7" w:rsidRPr="00EB0F0D" w:rsidRDefault="002E71F7" w:rsidP="002E71F7">
      <w:pPr>
        <w:rPr>
          <w:rFonts w:ascii="Calibri" w:eastAsia="Calibri" w:hAnsi="Calibri" w:cs="Calibri"/>
          <w:i/>
          <w:iCs/>
          <w:color w:val="000000" w:themeColor="text1"/>
        </w:rPr>
      </w:pPr>
      <w:r w:rsidRPr="00EB0F0D">
        <w:rPr>
          <w:rFonts w:ascii="Calibri" w:eastAsia="Calibri" w:hAnsi="Calibri" w:cs="Calibri"/>
          <w:i/>
          <w:iCs/>
          <w:color w:val="000000" w:themeColor="text1"/>
        </w:rPr>
        <w:t>Forecast Year</w:t>
      </w:r>
    </w:p>
    <w:p w14:paraId="3792652C" w14:textId="30527D09" w:rsidR="002E71F7" w:rsidRPr="00EB0F0D" w:rsidRDefault="002E71F7" w:rsidP="002E71F7">
      <w:pPr>
        <w:rPr>
          <w:rFonts w:ascii="Calibri" w:eastAsia="Calibri" w:hAnsi="Calibri" w:cs="Calibri"/>
        </w:rPr>
      </w:pPr>
      <w:r w:rsidRPr="00EB0F0D">
        <w:rPr>
          <w:rFonts w:ascii="Calibri" w:eastAsia="Calibri" w:hAnsi="Calibri" w:cs="Calibri"/>
        </w:rPr>
        <w:t xml:space="preserve">The analyst has </w:t>
      </w:r>
      <w:r w:rsidR="00EB0F0D">
        <w:rPr>
          <w:rFonts w:ascii="Calibri" w:eastAsia="Calibri" w:hAnsi="Calibri" w:cs="Calibri"/>
        </w:rPr>
        <w:t>three</w:t>
      </w:r>
      <w:r w:rsidRPr="00EB0F0D">
        <w:rPr>
          <w:rFonts w:ascii="Calibri" w:eastAsia="Calibri" w:hAnsi="Calibri" w:cs="Calibri"/>
        </w:rPr>
        <w:t xml:space="preserve"> different options for forecast year values.</w:t>
      </w:r>
    </w:p>
    <w:p w14:paraId="38EB415E" w14:textId="61DE12F3" w:rsidR="002E71F7" w:rsidRPr="00EB0F0D" w:rsidRDefault="002E71F7" w:rsidP="002E71F7">
      <w:pPr>
        <w:pStyle w:val="ListParagraph"/>
        <w:numPr>
          <w:ilvl w:val="0"/>
          <w:numId w:val="3"/>
        </w:numPr>
        <w:rPr>
          <w:rFonts w:ascii="Calibri" w:eastAsia="Calibri" w:hAnsi="Calibri" w:cs="Calibri"/>
        </w:rPr>
      </w:pPr>
      <w:r w:rsidRPr="00EB0F0D">
        <w:rPr>
          <w:rFonts w:ascii="Calibri" w:eastAsia="Calibri" w:hAnsi="Calibri" w:cs="Calibri"/>
        </w:rPr>
        <w:t>One approach is to assume no change.  Although household sizes have</w:t>
      </w:r>
      <w:r w:rsidR="00EB0F0D">
        <w:rPr>
          <w:rFonts w:ascii="Calibri" w:eastAsia="Calibri" w:hAnsi="Calibri" w:cs="Calibri"/>
        </w:rPr>
        <w:t xml:space="preserve"> in some cases</w:t>
      </w:r>
      <w:r w:rsidRPr="00EB0F0D">
        <w:rPr>
          <w:rFonts w:ascii="Calibri" w:eastAsia="Calibri" w:hAnsi="Calibri" w:cs="Calibri"/>
        </w:rPr>
        <w:t xml:space="preserve"> been decreasing since the 1970s, there is no guarantee this trend will continue.</w:t>
      </w:r>
      <w:r w:rsidR="00EB0F0D">
        <w:rPr>
          <w:rFonts w:ascii="Calibri" w:eastAsia="Calibri" w:hAnsi="Calibri" w:cs="Calibri"/>
        </w:rPr>
        <w:t xml:space="preserve">  Similarly, in locations where household sizes have increased, there is not a guarantee this trend will continue.  Thus, t</w:t>
      </w:r>
      <w:r w:rsidR="00EB0F0D" w:rsidRPr="00EB0F0D">
        <w:rPr>
          <w:rFonts w:ascii="Calibri" w:eastAsia="Calibri" w:hAnsi="Calibri" w:cs="Calibri"/>
        </w:rPr>
        <w:t>he local analyst may thus replace the 2045 values with 2024 values (presuming no change).</w:t>
      </w:r>
    </w:p>
    <w:p w14:paraId="3757B7C2" w14:textId="77BEF774" w:rsidR="046D4E8E" w:rsidRDefault="002E71F7" w:rsidP="002E71F7">
      <w:pPr>
        <w:pStyle w:val="ListParagraph"/>
        <w:numPr>
          <w:ilvl w:val="0"/>
          <w:numId w:val="3"/>
        </w:numPr>
        <w:rPr>
          <w:rFonts w:ascii="Calibri" w:eastAsia="Calibri" w:hAnsi="Calibri" w:cs="Calibri"/>
        </w:rPr>
      </w:pPr>
      <w:r w:rsidRPr="00EB0F0D">
        <w:rPr>
          <w:rFonts w:ascii="Calibri" w:eastAsia="Calibri" w:hAnsi="Calibri" w:cs="Calibri"/>
        </w:rPr>
        <w:t xml:space="preserve">A </w:t>
      </w:r>
      <w:r w:rsidR="00EB0F0D">
        <w:rPr>
          <w:rFonts w:ascii="Calibri" w:eastAsia="Calibri" w:hAnsi="Calibri" w:cs="Calibri"/>
        </w:rPr>
        <w:t xml:space="preserve">second </w:t>
      </w:r>
      <w:r w:rsidRPr="00EB0F0D">
        <w:rPr>
          <w:rFonts w:ascii="Calibri" w:eastAsia="Calibri" w:hAnsi="Calibri" w:cs="Calibri"/>
        </w:rPr>
        <w:t xml:space="preserve">option is to presume that indeed this trend will continue.  To make use of </w:t>
      </w:r>
      <w:r w:rsidR="046D4E8E" w:rsidRPr="00EB0F0D">
        <w:rPr>
          <w:rFonts w:ascii="Calibri" w:eastAsia="Calibri" w:hAnsi="Calibri" w:cs="Calibri"/>
        </w:rPr>
        <w:t>longer-term trends</w:t>
      </w:r>
      <w:r w:rsidRPr="00EB0F0D">
        <w:rPr>
          <w:rFonts w:ascii="Calibri" w:eastAsia="Calibri" w:hAnsi="Calibri" w:cs="Calibri"/>
        </w:rPr>
        <w:t xml:space="preserve">, data tables </w:t>
      </w:r>
      <w:r w:rsidR="36049158" w:rsidRPr="00EB0F0D">
        <w:rPr>
          <w:rFonts w:ascii="Calibri" w:eastAsia="Calibri" w:hAnsi="Calibri" w:cs="Calibri"/>
        </w:rPr>
        <w:t xml:space="preserve">from the US Census Bureau </w:t>
      </w:r>
      <w:r w:rsidRPr="00EB0F0D">
        <w:rPr>
          <w:rFonts w:ascii="Calibri" w:eastAsia="Calibri" w:hAnsi="Calibri" w:cs="Calibri"/>
        </w:rPr>
        <w:t xml:space="preserve">were used for years </w:t>
      </w:r>
      <w:r w:rsidR="10870569" w:rsidRPr="00EB0F0D">
        <w:rPr>
          <w:rFonts w:ascii="Calibri" w:eastAsia="Calibri" w:hAnsi="Calibri" w:cs="Calibri"/>
        </w:rPr>
        <w:t>2019, 2016, 2013, and 2010</w:t>
      </w:r>
      <w:r w:rsidRPr="00EB0F0D">
        <w:rPr>
          <w:rFonts w:ascii="Calibri" w:eastAsia="Calibri" w:hAnsi="Calibri" w:cs="Calibri"/>
        </w:rPr>
        <w:t xml:space="preserve">, and then </w:t>
      </w:r>
      <w:r w:rsidR="10870569" w:rsidRPr="00EB0F0D">
        <w:rPr>
          <w:rFonts w:ascii="Calibri" w:eastAsia="Calibri" w:hAnsi="Calibri" w:cs="Calibri"/>
        </w:rPr>
        <w:t>Excel</w:t>
      </w:r>
      <w:r w:rsidRPr="00EB0F0D">
        <w:rPr>
          <w:rFonts w:ascii="Calibri" w:eastAsia="Calibri" w:hAnsi="Calibri" w:cs="Calibri"/>
        </w:rPr>
        <w:t xml:space="preserve"> was used</w:t>
      </w:r>
      <w:r w:rsidR="10870569" w:rsidRPr="00EB0F0D">
        <w:rPr>
          <w:rFonts w:ascii="Calibri" w:eastAsia="Calibri" w:hAnsi="Calibri" w:cs="Calibri"/>
        </w:rPr>
        <w:t xml:space="preserve"> to calculate the slope from 2010 to 2024</w:t>
      </w:r>
      <w:r w:rsidRPr="00EB0F0D">
        <w:rPr>
          <w:rFonts w:ascii="Calibri" w:eastAsia="Calibri" w:hAnsi="Calibri" w:cs="Calibri"/>
        </w:rPr>
        <w:t xml:space="preserve">, and this slope was initially used to </w:t>
      </w:r>
      <w:r w:rsidR="10870569" w:rsidRPr="00EB0F0D">
        <w:rPr>
          <w:rFonts w:ascii="Calibri" w:eastAsia="Calibri" w:hAnsi="Calibri" w:cs="Calibri"/>
        </w:rPr>
        <w:t>predict the values for 2045 for each Azone</w:t>
      </w:r>
      <w:r w:rsidRPr="00EB0F0D">
        <w:rPr>
          <w:rFonts w:ascii="Calibri" w:eastAsia="Calibri" w:hAnsi="Calibri" w:cs="Calibri"/>
        </w:rPr>
        <w:t xml:space="preserve"> going from 2019—that is, </w:t>
      </w:r>
      <w:r w:rsidRPr="00EB0F0D">
        <w:rPr>
          <w:rFonts w:ascii="Calibri" w:eastAsia="Calibri" w:hAnsi="Calibri" w:cs="Calibri"/>
          <w:b/>
          <w:bCs/>
        </w:rPr>
        <w:t>26</w:t>
      </w:r>
      <w:r w:rsidRPr="00EB0F0D">
        <w:rPr>
          <w:rFonts w:ascii="Calibri" w:eastAsia="Calibri" w:hAnsi="Calibri" w:cs="Calibri"/>
        </w:rPr>
        <w:t xml:space="preserve"> years into the future to year 2045</w:t>
      </w:r>
      <w:r w:rsidR="10870569" w:rsidRPr="00EB0F0D">
        <w:rPr>
          <w:rFonts w:ascii="Calibri" w:eastAsia="Calibri" w:hAnsi="Calibri" w:cs="Calibri"/>
        </w:rPr>
        <w:t>.</w:t>
      </w:r>
      <w:r w:rsidR="01B600CC" w:rsidRPr="00EB0F0D">
        <w:rPr>
          <w:rFonts w:ascii="Calibri" w:eastAsia="Calibri" w:hAnsi="Calibri" w:cs="Calibri"/>
        </w:rPr>
        <w:t xml:space="preserve"> </w:t>
      </w:r>
      <w:r w:rsidRPr="00EB0F0D">
        <w:rPr>
          <w:rFonts w:ascii="Calibri" w:eastAsia="Calibri" w:hAnsi="Calibri" w:cs="Calibri"/>
        </w:rPr>
        <w:t xml:space="preserve"> However, this trend is likely unrealistic, as </w:t>
      </w:r>
      <w:r w:rsidR="41373F2C" w:rsidRPr="00EB0F0D">
        <w:rPr>
          <w:rFonts w:ascii="Calibri" w:eastAsia="Calibri" w:hAnsi="Calibri" w:cs="Calibri"/>
        </w:rPr>
        <w:t xml:space="preserve">improbable </w:t>
      </w:r>
      <w:r w:rsidRPr="00EB0F0D">
        <w:rPr>
          <w:rFonts w:ascii="Calibri" w:eastAsia="Calibri" w:hAnsi="Calibri" w:cs="Calibri"/>
        </w:rPr>
        <w:t xml:space="preserve">values can result, such as values less than one, and sometimes negative, for average household size.  A compromise was to add, </w:t>
      </w:r>
      <w:r w:rsidR="5FD51D44" w:rsidRPr="00EB0F0D">
        <w:rPr>
          <w:rFonts w:ascii="Calibri" w:eastAsia="Calibri" w:hAnsi="Calibri" w:cs="Calibri"/>
        </w:rPr>
        <w:t>for each A</w:t>
      </w:r>
      <w:r w:rsidR="66B84BCC" w:rsidRPr="00EB0F0D">
        <w:rPr>
          <w:rFonts w:ascii="Calibri" w:eastAsia="Calibri" w:hAnsi="Calibri" w:cs="Calibri"/>
        </w:rPr>
        <w:t>zone</w:t>
      </w:r>
      <w:r w:rsidRPr="00EB0F0D">
        <w:rPr>
          <w:rFonts w:ascii="Calibri" w:eastAsia="Calibri" w:hAnsi="Calibri" w:cs="Calibri"/>
        </w:rPr>
        <w:t>’s</w:t>
      </w:r>
      <w:r w:rsidR="75659D87" w:rsidRPr="00EB0F0D">
        <w:rPr>
          <w:rFonts w:ascii="Calibri" w:eastAsia="Calibri" w:hAnsi="Calibri" w:cs="Calibri"/>
        </w:rPr>
        <w:t xml:space="preserve"> </w:t>
      </w:r>
      <w:r w:rsidR="34F18B01" w:rsidRPr="00EB0F0D">
        <w:rPr>
          <w:rFonts w:ascii="Calibri" w:eastAsia="Calibri" w:hAnsi="Calibri" w:cs="Calibri"/>
        </w:rPr>
        <w:t>AveHhSize</w:t>
      </w:r>
      <w:r w:rsidRPr="00EB0F0D">
        <w:rPr>
          <w:rFonts w:ascii="Calibri" w:eastAsia="Calibri" w:hAnsi="Calibri" w:cs="Calibri"/>
        </w:rPr>
        <w:t xml:space="preserve">, </w:t>
      </w:r>
      <w:r w:rsidR="66B84BCC" w:rsidRPr="00EB0F0D">
        <w:rPr>
          <w:rFonts w:ascii="Calibri" w:eastAsia="Calibri" w:hAnsi="Calibri" w:cs="Calibri"/>
        </w:rPr>
        <w:t>the slope*</w:t>
      </w:r>
      <w:r w:rsidR="1F120E46" w:rsidRPr="00EB0F0D">
        <w:rPr>
          <w:rFonts w:ascii="Calibri" w:eastAsia="Calibri" w:hAnsi="Calibri" w:cs="Calibri"/>
          <w:b/>
          <w:bCs/>
        </w:rPr>
        <w:t>15</w:t>
      </w:r>
      <w:r w:rsidR="66B84BCC" w:rsidRPr="00EB0F0D">
        <w:rPr>
          <w:rFonts w:ascii="Calibri" w:eastAsia="Calibri" w:hAnsi="Calibri" w:cs="Calibri"/>
        </w:rPr>
        <w:t xml:space="preserve"> to the 20</w:t>
      </w:r>
      <w:r w:rsidR="71235A2A" w:rsidRPr="00EB0F0D">
        <w:rPr>
          <w:rFonts w:ascii="Calibri" w:eastAsia="Calibri" w:hAnsi="Calibri" w:cs="Calibri"/>
        </w:rPr>
        <w:t>19</w:t>
      </w:r>
      <w:r w:rsidR="66B84BCC" w:rsidRPr="00EB0F0D">
        <w:rPr>
          <w:rFonts w:ascii="Calibri" w:eastAsia="Calibri" w:hAnsi="Calibri" w:cs="Calibri"/>
        </w:rPr>
        <w:t xml:space="preserve"> value</w:t>
      </w:r>
      <w:r w:rsidRPr="00EB0F0D">
        <w:rPr>
          <w:rFonts w:ascii="Calibri" w:eastAsia="Calibri" w:hAnsi="Calibri" w:cs="Calibri"/>
        </w:rPr>
        <w:t xml:space="preserve"> (</w:t>
      </w:r>
      <w:r w:rsidR="66B84BCC" w:rsidRPr="00EB0F0D">
        <w:rPr>
          <w:rFonts w:ascii="Calibri" w:eastAsia="Calibri" w:hAnsi="Calibri" w:cs="Calibri"/>
        </w:rPr>
        <w:t>rather than adding the slope*2</w:t>
      </w:r>
      <w:r w:rsidR="16550097" w:rsidRPr="00EB0F0D">
        <w:rPr>
          <w:rFonts w:ascii="Calibri" w:eastAsia="Calibri" w:hAnsi="Calibri" w:cs="Calibri"/>
        </w:rPr>
        <w:t>6</w:t>
      </w:r>
      <w:r w:rsidRPr="00EB0F0D">
        <w:rPr>
          <w:rFonts w:ascii="Calibri" w:eastAsia="Calibri" w:hAnsi="Calibri" w:cs="Calibri"/>
        </w:rPr>
        <w:t xml:space="preserve"> as done previously)</w:t>
      </w:r>
      <w:r w:rsidR="1C16376F" w:rsidRPr="00EB0F0D">
        <w:rPr>
          <w:rFonts w:ascii="Calibri" w:eastAsia="Calibri" w:hAnsi="Calibri" w:cs="Calibri"/>
        </w:rPr>
        <w:t xml:space="preserve">. </w:t>
      </w:r>
      <w:r w:rsidRPr="00EB0F0D">
        <w:rPr>
          <w:rFonts w:ascii="Calibri" w:eastAsia="Calibri" w:hAnsi="Calibri" w:cs="Calibri"/>
        </w:rPr>
        <w:t xml:space="preserve"> </w:t>
      </w:r>
      <w:r w:rsidR="00EB0F0D">
        <w:rPr>
          <w:rFonts w:ascii="Calibri" w:eastAsia="Calibri" w:hAnsi="Calibri" w:cs="Calibri"/>
        </w:rPr>
        <w:t>This approach was used here.</w:t>
      </w:r>
    </w:p>
    <w:p w14:paraId="3425811E" w14:textId="0627F5E4" w:rsidR="00EB0F0D" w:rsidRPr="00EB0F0D" w:rsidRDefault="00EB0F0D" w:rsidP="002E71F7">
      <w:pPr>
        <w:pStyle w:val="ListParagraph"/>
        <w:numPr>
          <w:ilvl w:val="0"/>
          <w:numId w:val="3"/>
        </w:numPr>
        <w:rPr>
          <w:rFonts w:ascii="Calibri" w:eastAsia="Calibri" w:hAnsi="Calibri" w:cs="Calibri"/>
        </w:rPr>
      </w:pPr>
      <w:r>
        <w:rPr>
          <w:rFonts w:ascii="Calibri" w:eastAsia="Calibri" w:hAnsi="Calibri" w:cs="Calibri"/>
        </w:rPr>
        <w:t>A third option is to use Woods &amp; Poole 2045 household size values for Azones and then to adjust the one-person households.  This third option has not yet been pursued but may be considered later in 2026.</w:t>
      </w:r>
    </w:p>
    <w:p w14:paraId="15C43E09" w14:textId="2A80E838" w:rsidR="1E12EB73" w:rsidRPr="00EB0F0D" w:rsidRDefault="1E12EB73" w:rsidP="56F2192B">
      <w:pPr>
        <w:rPr>
          <w:rFonts w:ascii="Calibri" w:eastAsia="Calibri" w:hAnsi="Calibri" w:cs="Calibri"/>
        </w:rPr>
      </w:pPr>
    </w:p>
    <w:p w14:paraId="5A3B2F26" w14:textId="63F76F05" w:rsidR="1E12EB73" w:rsidRPr="00EB0F0D" w:rsidRDefault="005C21DD" w:rsidP="56F2192B">
      <w:pPr>
        <w:rPr>
          <w:rFonts w:ascii="Calibri" w:hAnsi="Calibri" w:cs="Calibri"/>
          <w:b/>
          <w:bCs/>
        </w:rPr>
      </w:pPr>
      <w:r w:rsidRPr="00EB0F0D">
        <w:rPr>
          <w:rFonts w:ascii="Calibri" w:hAnsi="Calibri" w:cs="Calibri"/>
          <w:b/>
          <w:bCs/>
        </w:rPr>
        <w:t>Appendix</w:t>
      </w:r>
    </w:p>
    <w:p w14:paraId="2FDAACCD" w14:textId="7A18994C" w:rsidR="005C21DD" w:rsidRPr="00EB0F0D" w:rsidRDefault="005C21DD" w:rsidP="005C21DD">
      <w:pPr>
        <w:rPr>
          <w:rFonts w:ascii="Calibri" w:hAnsi="Calibri" w:cs="Calibri"/>
        </w:rPr>
      </w:pPr>
      <w:r w:rsidRPr="00EB0F0D">
        <w:rPr>
          <w:rFonts w:ascii="Calibri" w:eastAsia="Calibri" w:hAnsi="Calibri" w:cs="Calibri"/>
        </w:rPr>
        <w:t>Other Census data sources may be used.  For example, t</w:t>
      </w:r>
      <w:r w:rsidRPr="00EB0F0D">
        <w:rPr>
          <w:rFonts w:ascii="Calibri" w:eastAsia="Calibri" w:hAnsi="Calibri" w:cs="Calibri"/>
        </w:rPr>
        <w:t>he 2023 DP02 table from the census website as of June 2025 (</w:t>
      </w:r>
      <w:hyperlink r:id="rId13">
        <w:r w:rsidRPr="00EB0F0D">
          <w:rPr>
            <w:rStyle w:val="Hyperlink"/>
            <w:rFonts w:ascii="Calibri" w:eastAsia="Calibri" w:hAnsi="Calibri" w:cs="Calibri"/>
          </w:rPr>
          <w:t>DP02: Selected Social ... - Census Bureau Table)</w:t>
        </w:r>
      </w:hyperlink>
      <w:r w:rsidRPr="00EB0F0D">
        <w:rPr>
          <w:rFonts w:ascii="Calibri" w:eastAsia="Calibri" w:hAnsi="Calibri" w:cs="Calibri"/>
        </w:rPr>
        <w:t xml:space="preserve"> contains average household size for each city/county, while the </w:t>
      </w:r>
      <w:r w:rsidRPr="00EB0F0D">
        <w:rPr>
          <w:rFonts w:ascii="Calibri" w:hAnsi="Calibri" w:cs="Calibri"/>
        </w:rPr>
        <w:t xml:space="preserve">Prop1PerHh column </w:t>
      </w:r>
      <w:r w:rsidRPr="00EB0F0D">
        <w:rPr>
          <w:rFonts w:ascii="Calibri" w:hAnsi="Calibri" w:cs="Calibri"/>
        </w:rPr>
        <w:t>may be</w:t>
      </w:r>
      <w:r w:rsidRPr="00EB0F0D">
        <w:rPr>
          <w:rFonts w:ascii="Calibri" w:hAnsi="Calibri" w:cs="Calibri"/>
        </w:rPr>
        <w:t xml:space="preserve"> found by adding the male householder living alone estimates with the female householder living alone estimates and dividing that by the total households estimates to get the proportion of non-group quarters households having only one person.</w:t>
      </w:r>
      <w:r w:rsidRPr="00EB0F0D">
        <w:rPr>
          <w:rFonts w:ascii="Calibri" w:hAnsi="Calibri" w:cs="Calibri"/>
        </w:rPr>
        <w:t xml:space="preserve">  </w:t>
      </w:r>
      <w:r w:rsidRPr="00EB0F0D">
        <w:rPr>
          <w:rFonts w:ascii="Calibri" w:hAnsi="Calibri" w:cs="Calibri"/>
        </w:rPr>
        <w:t>A snapshot of the DP02 table is below:</w:t>
      </w:r>
    </w:p>
    <w:p w14:paraId="73240432" w14:textId="77777777" w:rsidR="005C21DD" w:rsidRPr="00EB0F0D" w:rsidRDefault="005C21DD" w:rsidP="005C21DD">
      <w:pPr>
        <w:rPr>
          <w:rFonts w:ascii="Calibri" w:hAnsi="Calibri" w:cs="Calibri"/>
        </w:rPr>
      </w:pPr>
      <w:r w:rsidRPr="00EB0F0D">
        <w:rPr>
          <w:rFonts w:ascii="Calibri" w:hAnsi="Calibri" w:cs="Calibri"/>
          <w:noProof/>
        </w:rPr>
        <w:lastRenderedPageBreak/>
        <w:drawing>
          <wp:inline distT="0" distB="0" distL="0" distR="0" wp14:anchorId="47C1D631" wp14:editId="72430285">
            <wp:extent cx="3639289" cy="3711290"/>
            <wp:effectExtent l="0" t="0" r="0" b="0"/>
            <wp:docPr id="791123838" name="Picture 791123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3639289" cy="3711290"/>
                    </a:xfrm>
                    <a:prstGeom prst="rect">
                      <a:avLst/>
                    </a:prstGeom>
                  </pic:spPr>
                </pic:pic>
              </a:graphicData>
            </a:graphic>
          </wp:inline>
        </w:drawing>
      </w:r>
    </w:p>
    <w:p w14:paraId="7002AF52" w14:textId="203A9F0C" w:rsidR="005C21DD" w:rsidRPr="00EB0F0D" w:rsidRDefault="00EB0F0D" w:rsidP="56F2192B">
      <w:pPr>
        <w:rPr>
          <w:rFonts w:ascii="Calibri" w:hAnsi="Calibri" w:cs="Calibri"/>
        </w:rPr>
      </w:pPr>
      <w:r w:rsidRPr="00EB0F0D">
        <w:rPr>
          <w:rFonts w:ascii="Calibri" w:hAnsi="Calibri" w:cs="Calibri"/>
        </w:rPr>
        <w:t>Scrap work</w:t>
      </w:r>
    </w:p>
    <w:p w14:paraId="07F7FCA7" w14:textId="77777777" w:rsidR="00EB0F0D" w:rsidRPr="00EB0F0D" w:rsidRDefault="00EB0F0D" w:rsidP="00EB0F0D">
      <w:pPr>
        <w:rPr>
          <w:rFonts w:ascii="Calibri" w:hAnsi="Calibri" w:cs="Calibri"/>
        </w:rPr>
      </w:pPr>
    </w:p>
    <w:p w14:paraId="4FA43F8D" w14:textId="77777777" w:rsidR="00EB0F0D" w:rsidRPr="00EB0F0D" w:rsidRDefault="00EB0F0D" w:rsidP="00EB0F0D">
      <w:pPr>
        <w:rPr>
          <w:rFonts w:ascii="Calibri" w:hAnsi="Calibri" w:cs="Calibri"/>
        </w:rPr>
      </w:pPr>
    </w:p>
    <w:p w14:paraId="6B26D67E" w14:textId="77777777" w:rsidR="00EB0F0D" w:rsidRPr="00EB0F0D" w:rsidRDefault="00EB0F0D" w:rsidP="00EB0F0D">
      <w:pPr>
        <w:rPr>
          <w:rFonts w:ascii="Calibri" w:eastAsia="Calibri" w:hAnsi="Calibri" w:cs="Calibri"/>
        </w:rPr>
      </w:pPr>
      <w:r w:rsidRPr="00EB0F0D">
        <w:rPr>
          <w:rFonts w:ascii="Calibri" w:hAnsi="Calibri" w:cs="Calibri"/>
        </w:rPr>
        <w:t xml:space="preserve"> (</w:t>
      </w:r>
      <w:hyperlink r:id="rId15" w:anchor="verspm-azone_hhsize_targets.csv">
        <w:r w:rsidRPr="00EB0F0D">
          <w:rPr>
            <w:rStyle w:val="Hyperlink"/>
            <w:rFonts w:ascii="Calibri" w:eastAsia="Calibri" w:hAnsi="Calibri" w:cs="Calibri"/>
          </w:rPr>
          <w:t>Chapter 7 Model Inputs | VisionEval User Guide).</w:t>
        </w:r>
      </w:hyperlink>
      <w:r w:rsidRPr="00EB0F0D">
        <w:rPr>
          <w:rFonts w:ascii="Calibri" w:eastAsia="Calibri" w:hAnsi="Calibri" w:cs="Calibri"/>
        </w:rPr>
        <w:t xml:space="preserve"> </w:t>
      </w:r>
    </w:p>
    <w:p w14:paraId="5174C6B5" w14:textId="77777777" w:rsidR="00EB0F0D" w:rsidRPr="005C21DD" w:rsidRDefault="00EB0F0D" w:rsidP="56F2192B">
      <w:pPr>
        <w:rPr>
          <w:rFonts w:ascii="Calibri" w:hAnsi="Calibri" w:cs="Calibri"/>
        </w:rPr>
      </w:pPr>
    </w:p>
    <w:sectPr w:rsidR="00EB0F0D" w:rsidRPr="005C21DD" w:rsidSect="002E71F7">
      <w:footerReference w:type="default" r:id="rId1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FF3E9" w14:textId="77777777" w:rsidR="005C21DD" w:rsidRDefault="005C21DD" w:rsidP="005C21DD">
      <w:pPr>
        <w:spacing w:after="0" w:line="240" w:lineRule="auto"/>
      </w:pPr>
      <w:r>
        <w:separator/>
      </w:r>
    </w:p>
  </w:endnote>
  <w:endnote w:type="continuationSeparator" w:id="0">
    <w:p w14:paraId="7266687C" w14:textId="77777777" w:rsidR="005C21DD" w:rsidRDefault="005C21DD" w:rsidP="005C21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050002"/>
      <w:docPartObj>
        <w:docPartGallery w:val="Page Numbers (Bottom of Page)"/>
        <w:docPartUnique/>
      </w:docPartObj>
    </w:sdtPr>
    <w:sdtEndPr>
      <w:rPr>
        <w:noProof/>
      </w:rPr>
    </w:sdtEndPr>
    <w:sdtContent>
      <w:p w14:paraId="6D18DA8E" w14:textId="0AF92E49" w:rsidR="005C21DD" w:rsidRDefault="005C21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0BF446" w14:textId="77777777" w:rsidR="005C21DD" w:rsidRDefault="005C21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46F03" w14:textId="77777777" w:rsidR="005C21DD" w:rsidRDefault="005C21DD" w:rsidP="005C21DD">
      <w:pPr>
        <w:spacing w:after="0" w:line="240" w:lineRule="auto"/>
      </w:pPr>
      <w:r>
        <w:separator/>
      </w:r>
    </w:p>
  </w:footnote>
  <w:footnote w:type="continuationSeparator" w:id="0">
    <w:p w14:paraId="04A0FB4A" w14:textId="77777777" w:rsidR="005C21DD" w:rsidRDefault="005C21DD" w:rsidP="005C21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ED238"/>
    <w:multiLevelType w:val="hybridMultilevel"/>
    <w:tmpl w:val="444217D8"/>
    <w:lvl w:ilvl="0" w:tplc="0F20828C">
      <w:start w:val="1"/>
      <w:numFmt w:val="bullet"/>
      <w:lvlText w:val=""/>
      <w:lvlJc w:val="left"/>
      <w:pPr>
        <w:ind w:left="720" w:hanging="360"/>
      </w:pPr>
      <w:rPr>
        <w:rFonts w:ascii="Symbol" w:hAnsi="Symbol" w:hint="default"/>
      </w:rPr>
    </w:lvl>
    <w:lvl w:ilvl="1" w:tplc="CB60A73C">
      <w:start w:val="1"/>
      <w:numFmt w:val="bullet"/>
      <w:lvlText w:val="o"/>
      <w:lvlJc w:val="left"/>
      <w:pPr>
        <w:ind w:left="1440" w:hanging="360"/>
      </w:pPr>
      <w:rPr>
        <w:rFonts w:ascii="Courier New" w:hAnsi="Courier New" w:hint="default"/>
      </w:rPr>
    </w:lvl>
    <w:lvl w:ilvl="2" w:tplc="444A3954">
      <w:start w:val="1"/>
      <w:numFmt w:val="bullet"/>
      <w:lvlText w:val=""/>
      <w:lvlJc w:val="left"/>
      <w:pPr>
        <w:ind w:left="2160" w:hanging="360"/>
      </w:pPr>
      <w:rPr>
        <w:rFonts w:ascii="Wingdings" w:hAnsi="Wingdings" w:hint="default"/>
      </w:rPr>
    </w:lvl>
    <w:lvl w:ilvl="3" w:tplc="D82805D8">
      <w:start w:val="1"/>
      <w:numFmt w:val="bullet"/>
      <w:lvlText w:val=""/>
      <w:lvlJc w:val="left"/>
      <w:pPr>
        <w:ind w:left="2880" w:hanging="360"/>
      </w:pPr>
      <w:rPr>
        <w:rFonts w:ascii="Symbol" w:hAnsi="Symbol" w:hint="default"/>
      </w:rPr>
    </w:lvl>
    <w:lvl w:ilvl="4" w:tplc="793201FA">
      <w:start w:val="1"/>
      <w:numFmt w:val="bullet"/>
      <w:lvlText w:val="o"/>
      <w:lvlJc w:val="left"/>
      <w:pPr>
        <w:ind w:left="3600" w:hanging="360"/>
      </w:pPr>
      <w:rPr>
        <w:rFonts w:ascii="Courier New" w:hAnsi="Courier New" w:hint="default"/>
      </w:rPr>
    </w:lvl>
    <w:lvl w:ilvl="5" w:tplc="5044C8C4">
      <w:start w:val="1"/>
      <w:numFmt w:val="bullet"/>
      <w:lvlText w:val=""/>
      <w:lvlJc w:val="left"/>
      <w:pPr>
        <w:ind w:left="4320" w:hanging="360"/>
      </w:pPr>
      <w:rPr>
        <w:rFonts w:ascii="Wingdings" w:hAnsi="Wingdings" w:hint="default"/>
      </w:rPr>
    </w:lvl>
    <w:lvl w:ilvl="6" w:tplc="9FAAE818">
      <w:start w:val="1"/>
      <w:numFmt w:val="bullet"/>
      <w:lvlText w:val=""/>
      <w:lvlJc w:val="left"/>
      <w:pPr>
        <w:ind w:left="5040" w:hanging="360"/>
      </w:pPr>
      <w:rPr>
        <w:rFonts w:ascii="Symbol" w:hAnsi="Symbol" w:hint="default"/>
      </w:rPr>
    </w:lvl>
    <w:lvl w:ilvl="7" w:tplc="6DA60F36">
      <w:start w:val="1"/>
      <w:numFmt w:val="bullet"/>
      <w:lvlText w:val="o"/>
      <w:lvlJc w:val="left"/>
      <w:pPr>
        <w:ind w:left="5760" w:hanging="360"/>
      </w:pPr>
      <w:rPr>
        <w:rFonts w:ascii="Courier New" w:hAnsi="Courier New" w:hint="default"/>
      </w:rPr>
    </w:lvl>
    <w:lvl w:ilvl="8" w:tplc="F9F03780">
      <w:start w:val="1"/>
      <w:numFmt w:val="bullet"/>
      <w:lvlText w:val=""/>
      <w:lvlJc w:val="left"/>
      <w:pPr>
        <w:ind w:left="6480" w:hanging="360"/>
      </w:pPr>
      <w:rPr>
        <w:rFonts w:ascii="Wingdings" w:hAnsi="Wingdings" w:hint="default"/>
      </w:rPr>
    </w:lvl>
  </w:abstractNum>
  <w:abstractNum w:abstractNumId="1" w15:restartNumberingAfterBreak="0">
    <w:nsid w:val="1BC80366"/>
    <w:multiLevelType w:val="hybridMultilevel"/>
    <w:tmpl w:val="28BE6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E0670B"/>
    <w:multiLevelType w:val="hybridMultilevel"/>
    <w:tmpl w:val="C5365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1030310">
    <w:abstractNumId w:val="0"/>
  </w:num>
  <w:num w:numId="2" w16cid:durableId="955255567">
    <w:abstractNumId w:val="2"/>
  </w:num>
  <w:num w:numId="3" w16cid:durableId="2050521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E6D834"/>
    <w:rsid w:val="002E71F7"/>
    <w:rsid w:val="00451B19"/>
    <w:rsid w:val="005C21DD"/>
    <w:rsid w:val="006A6825"/>
    <w:rsid w:val="00EB0F0D"/>
    <w:rsid w:val="00FA4822"/>
    <w:rsid w:val="0180075C"/>
    <w:rsid w:val="01B600CC"/>
    <w:rsid w:val="03251124"/>
    <w:rsid w:val="03C7FDAD"/>
    <w:rsid w:val="046D4E8E"/>
    <w:rsid w:val="04A31E27"/>
    <w:rsid w:val="05454C0B"/>
    <w:rsid w:val="066BDC84"/>
    <w:rsid w:val="0781FB3F"/>
    <w:rsid w:val="093B25E8"/>
    <w:rsid w:val="0A8ACD6D"/>
    <w:rsid w:val="0C13B9F5"/>
    <w:rsid w:val="0D1EED17"/>
    <w:rsid w:val="0E5D5DD1"/>
    <w:rsid w:val="0F09E234"/>
    <w:rsid w:val="0FC74E6A"/>
    <w:rsid w:val="10870569"/>
    <w:rsid w:val="1378AA5D"/>
    <w:rsid w:val="154C85C9"/>
    <w:rsid w:val="15CB259E"/>
    <w:rsid w:val="16550097"/>
    <w:rsid w:val="16DCFB29"/>
    <w:rsid w:val="16DDFF85"/>
    <w:rsid w:val="1C16376F"/>
    <w:rsid w:val="1C590D01"/>
    <w:rsid w:val="1D1D8D31"/>
    <w:rsid w:val="1E12EB73"/>
    <w:rsid w:val="1E3A16B3"/>
    <w:rsid w:val="1F120E46"/>
    <w:rsid w:val="1F56D9E5"/>
    <w:rsid w:val="1FA33550"/>
    <w:rsid w:val="2429EC95"/>
    <w:rsid w:val="26215B37"/>
    <w:rsid w:val="26A25724"/>
    <w:rsid w:val="26B485CD"/>
    <w:rsid w:val="27EB202C"/>
    <w:rsid w:val="27F44387"/>
    <w:rsid w:val="295E3BE7"/>
    <w:rsid w:val="29FDAA7D"/>
    <w:rsid w:val="2B8C320C"/>
    <w:rsid w:val="2D4FDCF9"/>
    <w:rsid w:val="2DC1D662"/>
    <w:rsid w:val="2F8CEB50"/>
    <w:rsid w:val="2FC7671F"/>
    <w:rsid w:val="30D6914C"/>
    <w:rsid w:val="334363E3"/>
    <w:rsid w:val="334697DB"/>
    <w:rsid w:val="33970C65"/>
    <w:rsid w:val="34F18B01"/>
    <w:rsid w:val="35BE93F1"/>
    <w:rsid w:val="36049158"/>
    <w:rsid w:val="36538DD1"/>
    <w:rsid w:val="3B9D3B10"/>
    <w:rsid w:val="3D563AEC"/>
    <w:rsid w:val="3EE6D834"/>
    <w:rsid w:val="3FBCEC76"/>
    <w:rsid w:val="40711E9B"/>
    <w:rsid w:val="409DED21"/>
    <w:rsid w:val="41373F2C"/>
    <w:rsid w:val="41E11EEE"/>
    <w:rsid w:val="4246FBA0"/>
    <w:rsid w:val="43CFE10A"/>
    <w:rsid w:val="444B22A9"/>
    <w:rsid w:val="457E03D7"/>
    <w:rsid w:val="459EDCBD"/>
    <w:rsid w:val="4718EDE6"/>
    <w:rsid w:val="4730014C"/>
    <w:rsid w:val="4A0F8DBC"/>
    <w:rsid w:val="4A4FAF9A"/>
    <w:rsid w:val="4B9C6B70"/>
    <w:rsid w:val="4D7DC3E2"/>
    <w:rsid w:val="4DAD8BD8"/>
    <w:rsid w:val="4E4FF7A0"/>
    <w:rsid w:val="4E5AE5A6"/>
    <w:rsid w:val="4E945767"/>
    <w:rsid w:val="4F21BBC4"/>
    <w:rsid w:val="50051E5D"/>
    <w:rsid w:val="5349041C"/>
    <w:rsid w:val="54D6C668"/>
    <w:rsid w:val="5567F09D"/>
    <w:rsid w:val="56F2192B"/>
    <w:rsid w:val="57DF1C98"/>
    <w:rsid w:val="58802E5B"/>
    <w:rsid w:val="59B2C5EF"/>
    <w:rsid w:val="5B0F133C"/>
    <w:rsid w:val="5BCBF395"/>
    <w:rsid w:val="5D06A9FF"/>
    <w:rsid w:val="5EA5BDAF"/>
    <w:rsid w:val="5F53773A"/>
    <w:rsid w:val="5FD51D44"/>
    <w:rsid w:val="5FDB1379"/>
    <w:rsid w:val="61720E17"/>
    <w:rsid w:val="64404485"/>
    <w:rsid w:val="6488C365"/>
    <w:rsid w:val="66B84BCC"/>
    <w:rsid w:val="67377F3E"/>
    <w:rsid w:val="685DB17C"/>
    <w:rsid w:val="6A33FB8E"/>
    <w:rsid w:val="6B5002D4"/>
    <w:rsid w:val="6BE7E27C"/>
    <w:rsid w:val="7069F6C3"/>
    <w:rsid w:val="71235A2A"/>
    <w:rsid w:val="712B68BB"/>
    <w:rsid w:val="7428C29E"/>
    <w:rsid w:val="752F7C0E"/>
    <w:rsid w:val="75659D87"/>
    <w:rsid w:val="784D8CD6"/>
    <w:rsid w:val="7B3675C7"/>
    <w:rsid w:val="7F8E9A45"/>
    <w:rsid w:val="7FA85A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6D834"/>
  <w15:chartTrackingRefBased/>
  <w15:docId w15:val="{E3934C07-2089-4A22-8527-990BC5B1C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1F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9FDAA7D"/>
    <w:pPr>
      <w:ind w:left="720"/>
      <w:contextualSpacing/>
    </w:pPr>
  </w:style>
  <w:style w:type="character" w:styleId="Hyperlink">
    <w:name w:val="Hyperlink"/>
    <w:basedOn w:val="DefaultParagraphFont"/>
    <w:uiPriority w:val="99"/>
    <w:unhideWhenUsed/>
    <w:rsid w:val="29FDAA7D"/>
    <w:rPr>
      <w:color w:val="467886"/>
      <w:u w:val="single"/>
    </w:rPr>
  </w:style>
  <w:style w:type="paragraph" w:styleId="Header">
    <w:name w:val="header"/>
    <w:basedOn w:val="Normal"/>
    <w:link w:val="HeaderChar"/>
    <w:uiPriority w:val="99"/>
    <w:unhideWhenUsed/>
    <w:rsid w:val="005C21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21DD"/>
  </w:style>
  <w:style w:type="paragraph" w:styleId="Footer">
    <w:name w:val="footer"/>
    <w:basedOn w:val="Normal"/>
    <w:link w:val="FooterChar"/>
    <w:uiPriority w:val="99"/>
    <w:unhideWhenUsed/>
    <w:rsid w:val="005C21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21DD"/>
  </w:style>
  <w:style w:type="character" w:styleId="UnresolvedMention">
    <w:name w:val="Unresolved Mention"/>
    <w:basedOn w:val="DefaultParagraphFont"/>
    <w:uiPriority w:val="99"/>
    <w:semiHidden/>
    <w:unhideWhenUsed/>
    <w:rsid w:val="005C21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ata.census.gov/table/ACSDP5Y2023.DP02?q=household&amp;g=040XX00US51$050000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visioneval.github.io/docs/model-inputs.html" TargetMode="Externa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census.gov/table?q=S2501&amp;g=040XX00US51$0500000" TargetMode="External"/><Relationship Id="rId5" Type="http://schemas.openxmlformats.org/officeDocument/2006/relationships/footnotes" Target="footnotes.xml"/><Relationship Id="rId15" Type="http://schemas.openxmlformats.org/officeDocument/2006/relationships/hyperlink" Target="https://visioneval.github.io/docs/model-inputs.html" TargetMode="External"/><Relationship Id="rId10" Type="http://schemas.openxmlformats.org/officeDocument/2006/relationships/hyperlink" Target="https://data.census.gov/table/ACSDT5Y2023.B25010?q=B25010:+AVERAGE+HOUSEHOLD+SIZE+OF+OCCUPIED+HOUSING+UNITS+BY+TENURE&amp;g=040XX00US51$0500000" TargetMode="External"/><Relationship Id="rId4" Type="http://schemas.openxmlformats.org/officeDocument/2006/relationships/webSettings" Target="webSettings.xml"/><Relationship Id="rId9" Type="http://schemas.openxmlformats.org/officeDocument/2006/relationships/hyperlink" Target="https://virginia.box.com/s/irjud9jhn28x5w6kq0gjz1ytm484wu74"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876</Words>
  <Characters>4385</Characters>
  <Application>Microsoft Office Word</Application>
  <DocSecurity>0</DocSecurity>
  <Lines>71</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Finkbeiner, Julia (uqf7ea)</dc:creator>
  <cp:keywords/>
  <dc:description/>
  <cp:lastModifiedBy>Miller, John S. (VDOT)</cp:lastModifiedBy>
  <cp:revision>3</cp:revision>
  <dcterms:created xsi:type="dcterms:W3CDTF">2026-04-10T20:14:00Z</dcterms:created>
  <dcterms:modified xsi:type="dcterms:W3CDTF">2026-04-10T20:42:00Z</dcterms:modified>
</cp:coreProperties>
</file>