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4B66" w14:textId="0EA526F5" w:rsidR="43AFE40E" w:rsidRPr="0009459B" w:rsidRDefault="43AFE40E" w:rsidP="0009459B">
      <w:pPr>
        <w:tabs>
          <w:tab w:val="num" w:pos="720"/>
        </w:tabs>
        <w:spacing w:after="0" w:line="240" w:lineRule="auto"/>
        <w:jc w:val="center"/>
        <w:rPr>
          <w:rFonts w:ascii="Calibri" w:eastAsia="Times New Roman" w:hAnsi="Calibri" w:cs="Calibri"/>
          <w:color w:val="000000" w:themeColor="text1"/>
        </w:rPr>
      </w:pPr>
      <w:r w:rsidRPr="0009459B">
        <w:rPr>
          <w:rFonts w:ascii="Calibri" w:eastAsia="Times New Roman" w:hAnsi="Calibri" w:cs="Calibri"/>
          <w:b/>
          <w:bCs/>
        </w:rPr>
        <w:t>File 15_azone_per_cap_inc</w:t>
      </w:r>
    </w:p>
    <w:p w14:paraId="114EF856" w14:textId="7F4A60BC" w:rsidR="43AFE40E" w:rsidRPr="0009459B" w:rsidRDefault="001A7B3B" w:rsidP="0009459B">
      <w:pPr>
        <w:tabs>
          <w:tab w:val="num" w:pos="720"/>
        </w:tabs>
        <w:spacing w:after="0" w:line="240" w:lineRule="auto"/>
        <w:jc w:val="center"/>
        <w:rPr>
          <w:rFonts w:ascii="Calibri" w:eastAsia="Times New Roman" w:hAnsi="Calibri" w:cs="Calibri"/>
          <w:color w:val="000000" w:themeColor="text1"/>
        </w:rPr>
      </w:pPr>
      <w:r w:rsidRPr="0009459B">
        <w:rPr>
          <w:rFonts w:ascii="Calibri" w:eastAsia="Times New Roman" w:hAnsi="Calibri" w:cs="Calibri"/>
          <w:b/>
          <w:bCs/>
        </w:rPr>
        <w:t xml:space="preserve">May </w:t>
      </w:r>
      <w:r w:rsidR="00A94F79" w:rsidRPr="0009459B">
        <w:rPr>
          <w:rFonts w:ascii="Calibri" w:eastAsia="Times New Roman" w:hAnsi="Calibri" w:cs="Calibri"/>
          <w:b/>
          <w:bCs/>
        </w:rPr>
        <w:t>5</w:t>
      </w:r>
      <w:r w:rsidRPr="0009459B">
        <w:rPr>
          <w:rFonts w:ascii="Calibri" w:eastAsia="Times New Roman" w:hAnsi="Calibri" w:cs="Calibri"/>
          <w:b/>
          <w:bCs/>
        </w:rPr>
        <w:t>,</w:t>
      </w:r>
      <w:r w:rsidR="005500F5" w:rsidRPr="0009459B">
        <w:rPr>
          <w:rFonts w:ascii="Calibri" w:eastAsia="Times New Roman" w:hAnsi="Calibri" w:cs="Calibri"/>
          <w:b/>
          <w:bCs/>
        </w:rPr>
        <w:t xml:space="preserve"> 2026</w:t>
      </w:r>
    </w:p>
    <w:p w14:paraId="0F5E2233" w14:textId="77777777" w:rsidR="00A94F79" w:rsidRPr="0009459B" w:rsidRDefault="00A94F79" w:rsidP="0009459B">
      <w:pPr>
        <w:pStyle w:val="Heading2"/>
        <w:spacing w:before="0" w:after="0" w:line="240" w:lineRule="auto"/>
        <w:rPr>
          <w:rFonts w:ascii="Calibri" w:eastAsia="Times New Roman" w:hAnsi="Calibri" w:cs="Calibri"/>
          <w:b/>
          <w:bCs/>
          <w:color w:val="auto"/>
          <w:sz w:val="24"/>
          <w:szCs w:val="24"/>
        </w:rPr>
      </w:pPr>
    </w:p>
    <w:p w14:paraId="42D9EA92" w14:textId="636E090D" w:rsidR="515D732C" w:rsidRPr="0009459B" w:rsidRDefault="515D732C" w:rsidP="0009459B">
      <w:pPr>
        <w:pStyle w:val="Heading2"/>
        <w:spacing w:before="0" w:after="0" w:line="240" w:lineRule="auto"/>
        <w:rPr>
          <w:rFonts w:ascii="Calibri" w:eastAsia="Times New Roman" w:hAnsi="Calibri" w:cs="Calibri"/>
          <w:b/>
          <w:bCs/>
          <w:color w:val="auto"/>
          <w:sz w:val="24"/>
          <w:szCs w:val="24"/>
        </w:rPr>
      </w:pPr>
      <w:r w:rsidRPr="0009459B">
        <w:rPr>
          <w:rFonts w:ascii="Calibri" w:eastAsia="Times New Roman" w:hAnsi="Calibri" w:cs="Calibri"/>
          <w:b/>
          <w:bCs/>
          <w:color w:val="auto"/>
          <w:sz w:val="24"/>
          <w:szCs w:val="24"/>
        </w:rPr>
        <w:t>Definition of the Input File</w:t>
      </w:r>
    </w:p>
    <w:p w14:paraId="69D61ACC" w14:textId="77777777" w:rsidR="00A94F79" w:rsidRPr="0009459B" w:rsidRDefault="00A94F79" w:rsidP="0009459B">
      <w:pPr>
        <w:spacing w:after="0" w:line="240" w:lineRule="auto"/>
        <w:rPr>
          <w:rFonts w:ascii="Calibri" w:hAnsi="Calibri" w:cs="Calibri"/>
        </w:rPr>
      </w:pPr>
    </w:p>
    <w:p w14:paraId="3F7E85CA" w14:textId="739DB79B" w:rsidR="00925E0D" w:rsidRPr="0009459B" w:rsidRDefault="515D732C" w:rsidP="0009459B">
      <w:pPr>
        <w:spacing w:after="0" w:line="240" w:lineRule="auto"/>
        <w:ind w:firstLine="720"/>
        <w:rPr>
          <w:rFonts w:ascii="Calibri" w:eastAsia="Times New Roman" w:hAnsi="Calibri" w:cs="Calibri"/>
        </w:rPr>
      </w:pPr>
      <w:r w:rsidRPr="0009459B">
        <w:rPr>
          <w:rFonts w:ascii="Calibri" w:eastAsia="Times New Roman" w:hAnsi="Calibri" w:cs="Calibri"/>
        </w:rPr>
        <w:t>VisionEval (</w:t>
      </w:r>
      <w:hyperlink r:id="rId7">
        <w:r w:rsidRPr="0009459B">
          <w:rPr>
            <w:rStyle w:val="Hyperlink"/>
            <w:rFonts w:ascii="Calibri" w:eastAsia="Times New Roman" w:hAnsi="Calibri" w:cs="Calibri"/>
            <w:color w:val="auto"/>
          </w:rPr>
          <w:t>https://visioneval.github.io/docs/model-inputs.html</w:t>
        </w:r>
      </w:hyperlink>
      <w:r w:rsidRPr="0009459B">
        <w:rPr>
          <w:rFonts w:ascii="Calibri" w:eastAsia="Times New Roman" w:hAnsi="Calibri" w:cs="Calibri"/>
        </w:rPr>
        <w:t xml:space="preserve">) explains that the definition for </w:t>
      </w:r>
      <w:r w:rsidRPr="0009459B">
        <w:rPr>
          <w:rFonts w:ascii="Calibri" w:eastAsia="Times New Roman" w:hAnsi="Calibri" w:cs="Calibri"/>
          <w:i/>
          <w:iCs/>
        </w:rPr>
        <w:t>azone_per_cap_inc.csv</w:t>
      </w:r>
      <w:r w:rsidRPr="0009459B">
        <w:rPr>
          <w:rFonts w:ascii="Calibri" w:eastAsia="Times New Roman" w:hAnsi="Calibri" w:cs="Calibri"/>
        </w:rPr>
        <w:t xml:space="preserve"> is that it contains two attributes: </w:t>
      </w:r>
      <w:r w:rsidRPr="0009459B">
        <w:rPr>
          <w:rFonts w:ascii="Calibri" w:eastAsia="Times New Roman" w:hAnsi="Calibri" w:cs="Calibri"/>
          <w:b/>
          <w:bCs/>
        </w:rPr>
        <w:t>HHIncomePC</w:t>
      </w:r>
      <w:r w:rsidRPr="0009459B">
        <w:rPr>
          <w:rFonts w:ascii="Calibri" w:eastAsia="Times New Roman" w:hAnsi="Calibri" w:cs="Calibri"/>
        </w:rPr>
        <w:t xml:space="preserve">, defined as “average per capita household income,” and </w:t>
      </w:r>
      <w:r w:rsidRPr="0009459B">
        <w:rPr>
          <w:rFonts w:ascii="Calibri" w:eastAsia="Times New Roman" w:hAnsi="Calibri" w:cs="Calibri"/>
          <w:b/>
          <w:bCs/>
        </w:rPr>
        <w:t>GQIncomePC</w:t>
      </w:r>
      <w:r w:rsidRPr="0009459B">
        <w:rPr>
          <w:rFonts w:ascii="Calibri" w:eastAsia="Times New Roman" w:hAnsi="Calibri" w:cs="Calibri"/>
        </w:rPr>
        <w:t>, defined as “average per capita income for group quarters populations.” These values are specified by Azone and forecast year and are typically expressed in constant dollars (e.g., 20</w:t>
      </w:r>
      <w:r w:rsidR="0495DA9B" w:rsidRPr="0009459B">
        <w:rPr>
          <w:rFonts w:ascii="Calibri" w:eastAsia="Times New Roman" w:hAnsi="Calibri" w:cs="Calibri"/>
        </w:rPr>
        <w:t>24</w:t>
      </w:r>
      <w:r w:rsidRPr="0009459B">
        <w:rPr>
          <w:rFonts w:ascii="Calibri" w:eastAsia="Times New Roman" w:hAnsi="Calibri" w:cs="Calibri"/>
        </w:rPr>
        <w:t xml:space="preserve"> dollars).</w:t>
      </w:r>
      <w:r w:rsidR="00431D7C" w:rsidRPr="0009459B">
        <w:rPr>
          <w:rFonts w:ascii="Calibri" w:eastAsia="Times New Roman" w:hAnsi="Calibri" w:cs="Calibri"/>
        </w:rPr>
        <w:t xml:space="preserve">  </w:t>
      </w:r>
      <w:r w:rsidR="002F4846" w:rsidRPr="0009459B">
        <w:rPr>
          <w:rFonts w:ascii="Calibri" w:eastAsia="Times New Roman" w:hAnsi="Calibri" w:cs="Calibri"/>
        </w:rPr>
        <w:t>One element of potential confusion is whether the “</w:t>
      </w:r>
      <w:r w:rsidR="002F4846" w:rsidRPr="0009459B">
        <w:rPr>
          <w:rFonts w:ascii="Calibri" w:eastAsia="Times New Roman" w:hAnsi="Calibri" w:cs="Calibri"/>
          <w:b/>
          <w:bCs/>
        </w:rPr>
        <w:t>HHIncomePC</w:t>
      </w:r>
      <w:r w:rsidR="002F4846" w:rsidRPr="0009459B">
        <w:rPr>
          <w:rFonts w:ascii="Calibri" w:eastAsia="Times New Roman" w:hAnsi="Calibri" w:cs="Calibri"/>
        </w:rPr>
        <w:t xml:space="preserve">” is </w:t>
      </w:r>
      <w:r w:rsidR="002F4846" w:rsidRPr="0009459B">
        <w:rPr>
          <w:rFonts w:ascii="Calibri" w:eastAsia="Times New Roman" w:hAnsi="Calibri" w:cs="Calibri"/>
          <w:i/>
          <w:iCs/>
        </w:rPr>
        <w:t>total household income</w:t>
      </w:r>
      <w:r w:rsidR="002F4846" w:rsidRPr="0009459B">
        <w:rPr>
          <w:rFonts w:ascii="Calibri" w:eastAsia="Times New Roman" w:hAnsi="Calibri" w:cs="Calibri"/>
        </w:rPr>
        <w:t xml:space="preserve"> or is </w:t>
      </w:r>
      <w:r w:rsidR="002F4846" w:rsidRPr="0009459B">
        <w:rPr>
          <w:rFonts w:ascii="Calibri" w:eastAsia="Times New Roman" w:hAnsi="Calibri" w:cs="Calibri"/>
          <w:i/>
          <w:iCs/>
        </w:rPr>
        <w:t>per-capita income for persons who live in households</w:t>
      </w:r>
      <w:r w:rsidR="002F4846" w:rsidRPr="0009459B">
        <w:rPr>
          <w:rFonts w:ascii="Calibri" w:eastAsia="Times New Roman" w:hAnsi="Calibri" w:cs="Calibri"/>
        </w:rPr>
        <w:t xml:space="preserve">.  Examination of the documentation in another section (https://github.com/visioneval/VisionEval/blob/main/sources/modules/VESimHouseholds/inst/module_docs/PredictIncome.md) has led the research team to believe that the definition is the latter—that is, </w:t>
      </w:r>
      <w:r w:rsidR="00925E0D" w:rsidRPr="0009459B">
        <w:rPr>
          <w:rFonts w:ascii="Calibri" w:eastAsia="Times New Roman" w:hAnsi="Calibri" w:cs="Calibri"/>
        </w:rPr>
        <w:t>HHIncomePC</w:t>
      </w:r>
      <w:r w:rsidR="0009459B">
        <w:rPr>
          <w:rFonts w:ascii="Calibri" w:eastAsia="Times New Roman" w:hAnsi="Calibri" w:cs="Calibri"/>
        </w:rPr>
        <w:t xml:space="preserve"> </w:t>
      </w:r>
      <w:r w:rsidR="00925E0D" w:rsidRPr="0009459B">
        <w:rPr>
          <w:rFonts w:ascii="Calibri" w:eastAsia="Times New Roman" w:hAnsi="Calibri" w:cs="Calibri"/>
        </w:rPr>
        <w:t xml:space="preserve">is average annual </w:t>
      </w:r>
      <w:r w:rsidR="00925E0D" w:rsidRPr="0009459B">
        <w:rPr>
          <w:rFonts w:ascii="Calibri" w:eastAsia="Times New Roman" w:hAnsi="Calibri" w:cs="Calibri"/>
          <w:b/>
          <w:bCs/>
        </w:rPr>
        <w:t>per-capita</w:t>
      </w:r>
      <w:r w:rsidR="00925E0D" w:rsidRPr="0009459B">
        <w:rPr>
          <w:rFonts w:ascii="Calibri" w:eastAsia="Times New Roman" w:hAnsi="Calibri" w:cs="Calibri"/>
        </w:rPr>
        <w:t xml:space="preserve"> income living in households, excluding group quarters, and GQIncomePC is average annual per-capita income of group quarters population.</w:t>
      </w:r>
    </w:p>
    <w:p w14:paraId="65277AA9" w14:textId="77777777" w:rsidR="00A94F79" w:rsidRPr="0009459B" w:rsidRDefault="00A94F79" w:rsidP="0009459B">
      <w:pPr>
        <w:spacing w:after="0" w:line="240" w:lineRule="auto"/>
        <w:ind w:firstLine="720"/>
        <w:rPr>
          <w:rFonts w:ascii="Calibri" w:eastAsia="Times New Roman" w:hAnsi="Calibri" w:cs="Calibri"/>
        </w:rPr>
      </w:pPr>
    </w:p>
    <w:p w14:paraId="7DAEAE40" w14:textId="3A85603C" w:rsidR="00926EC9" w:rsidRDefault="00926EC9" w:rsidP="0009459B">
      <w:pPr>
        <w:spacing w:after="0" w:line="240" w:lineRule="auto"/>
        <w:ind w:firstLine="720"/>
        <w:rPr>
          <w:rFonts w:ascii="Calibri" w:eastAsia="Times New Roman" w:hAnsi="Calibri" w:cs="Calibri"/>
        </w:rPr>
      </w:pPr>
      <w:r w:rsidRPr="0009459B">
        <w:rPr>
          <w:rFonts w:ascii="Calibri" w:eastAsia="Times New Roman" w:hAnsi="Calibri" w:cs="Calibri"/>
        </w:rPr>
        <w:t xml:space="preserve">For example, using 2024 dollars, the </w:t>
      </w:r>
      <w:r w:rsidR="00A94F79" w:rsidRPr="0009459B">
        <w:rPr>
          <w:rFonts w:ascii="Calibri" w:eastAsia="Times New Roman" w:hAnsi="Calibri" w:cs="Calibri"/>
        </w:rPr>
        <w:t xml:space="preserve">per-capita income for persons living in </w:t>
      </w:r>
      <w:r w:rsidR="0009459B" w:rsidRPr="0009459B">
        <w:rPr>
          <w:rFonts w:ascii="Calibri" w:eastAsia="Times New Roman" w:hAnsi="Calibri" w:cs="Calibri"/>
        </w:rPr>
        <w:t>households</w:t>
      </w:r>
      <w:r w:rsidR="00A94F79" w:rsidRPr="0009459B">
        <w:rPr>
          <w:rFonts w:ascii="Calibri" w:eastAsia="Times New Roman" w:hAnsi="Calibri" w:cs="Calibri"/>
        </w:rPr>
        <w:t xml:space="preserve"> in the City of Charlottesville is $36,807.  In year 2045, this income is forecast to rise to $47,781 (in 2024 dollars).  For persons living in military barracks or dormitories, this 2045 per-capita income is lower at $15,536 (again in 2024 dollars).</w:t>
      </w:r>
    </w:p>
    <w:p w14:paraId="0484E95F" w14:textId="77777777" w:rsidR="0009459B" w:rsidRPr="0009459B" w:rsidRDefault="0009459B" w:rsidP="0009459B">
      <w:pPr>
        <w:spacing w:after="0" w:line="240" w:lineRule="auto"/>
        <w:ind w:firstLine="720"/>
        <w:rPr>
          <w:rFonts w:ascii="Calibri" w:eastAsia="Times New Roman" w:hAnsi="Calibri" w:cs="Calibri"/>
        </w:rPr>
      </w:pPr>
    </w:p>
    <w:p w14:paraId="6004FB78" w14:textId="3A302268" w:rsidR="00A94F79" w:rsidRDefault="00926EC9" w:rsidP="0009459B">
      <w:pPr>
        <w:spacing w:after="0" w:line="240" w:lineRule="auto"/>
        <w:ind w:firstLine="720"/>
        <w:rPr>
          <w:rFonts w:ascii="Calibri" w:eastAsia="Times New Roman" w:hAnsi="Calibri" w:cs="Calibri"/>
        </w:rPr>
      </w:pPr>
      <w:r w:rsidRPr="0009459B">
        <w:rPr>
          <w:rFonts w:ascii="Calibri" w:eastAsia="Times New Roman" w:hAnsi="Calibri" w:cs="Calibri"/>
          <w:noProof/>
        </w:rPr>
        <w:drawing>
          <wp:inline distT="0" distB="0" distL="0" distR="0" wp14:anchorId="69AE25EC" wp14:editId="58F1AB1F">
            <wp:extent cx="3787468" cy="937341"/>
            <wp:effectExtent l="0" t="0" r="3810" b="0"/>
            <wp:docPr id="188504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3208" name=""/>
                    <pic:cNvPicPr/>
                  </pic:nvPicPr>
                  <pic:blipFill>
                    <a:blip r:embed="rId8"/>
                    <a:stretch>
                      <a:fillRect/>
                    </a:stretch>
                  </pic:blipFill>
                  <pic:spPr>
                    <a:xfrm>
                      <a:off x="0" y="0"/>
                      <a:ext cx="3787468" cy="937341"/>
                    </a:xfrm>
                    <a:prstGeom prst="rect">
                      <a:avLst/>
                    </a:prstGeom>
                  </pic:spPr>
                </pic:pic>
              </a:graphicData>
            </a:graphic>
          </wp:inline>
        </w:drawing>
      </w:r>
    </w:p>
    <w:p w14:paraId="7850EE82" w14:textId="77777777" w:rsidR="0009459B" w:rsidRPr="0009459B" w:rsidRDefault="0009459B" w:rsidP="0009459B">
      <w:pPr>
        <w:spacing w:after="0" w:line="240" w:lineRule="auto"/>
        <w:ind w:firstLine="720"/>
        <w:rPr>
          <w:rFonts w:ascii="Calibri" w:eastAsia="Times New Roman" w:hAnsi="Calibri" w:cs="Calibri"/>
        </w:rPr>
      </w:pPr>
    </w:p>
    <w:p w14:paraId="514C1E6B" w14:textId="77777777" w:rsidR="00A94F79" w:rsidRPr="0009459B" w:rsidRDefault="00A94F79" w:rsidP="0009459B">
      <w:pPr>
        <w:pStyle w:val="Heading2"/>
        <w:spacing w:before="0" w:after="0" w:line="240" w:lineRule="auto"/>
        <w:rPr>
          <w:rFonts w:ascii="Calibri" w:eastAsia="Times New Roman" w:hAnsi="Calibri" w:cs="Calibri"/>
          <w:b/>
          <w:bCs/>
          <w:color w:val="auto"/>
          <w:sz w:val="24"/>
          <w:szCs w:val="24"/>
        </w:rPr>
      </w:pPr>
      <w:r w:rsidRPr="0009459B">
        <w:rPr>
          <w:rFonts w:ascii="Calibri" w:eastAsia="Times New Roman" w:hAnsi="Calibri" w:cs="Calibri"/>
          <w:b/>
          <w:bCs/>
          <w:color w:val="auto"/>
          <w:sz w:val="24"/>
          <w:szCs w:val="24"/>
        </w:rPr>
        <w:t>Possible Scenario</w:t>
      </w:r>
    </w:p>
    <w:p w14:paraId="7037C4D0" w14:textId="20813F46" w:rsidR="00A94F79" w:rsidRDefault="00A94F79" w:rsidP="0009459B">
      <w:pPr>
        <w:spacing w:after="0" w:line="240" w:lineRule="auto"/>
        <w:ind w:firstLine="720"/>
        <w:rPr>
          <w:rFonts w:ascii="Calibri" w:eastAsia="Times New Roman" w:hAnsi="Calibri" w:cs="Calibri"/>
        </w:rPr>
      </w:pPr>
      <w:r w:rsidRPr="0009459B">
        <w:rPr>
          <w:rFonts w:ascii="Calibri" w:eastAsia="Times New Roman" w:hAnsi="Calibri" w:cs="Calibri"/>
        </w:rPr>
        <w:t>Imagine you are a planner for the Thomas Jefferson Planning District Commission (TJPDC). You want to know if the current expansion of Route 29 will be enough to handle traffic in 2045.  One might consider four steps.</w:t>
      </w:r>
    </w:p>
    <w:p w14:paraId="1058E720" w14:textId="77777777" w:rsidR="0009459B" w:rsidRPr="0009459B" w:rsidRDefault="0009459B" w:rsidP="0009459B">
      <w:pPr>
        <w:spacing w:after="0" w:line="240" w:lineRule="auto"/>
        <w:ind w:firstLine="720"/>
        <w:rPr>
          <w:rFonts w:ascii="Calibri" w:eastAsia="Times New Roman" w:hAnsi="Calibri" w:cs="Calibri"/>
        </w:rPr>
      </w:pPr>
    </w:p>
    <w:p w14:paraId="26864684" w14:textId="77777777" w:rsidR="00A94F79" w:rsidRPr="0009459B" w:rsidRDefault="00A94F79" w:rsidP="0009459B">
      <w:pPr>
        <w:pStyle w:val="Heading4"/>
        <w:spacing w:before="0" w:after="0" w:line="240" w:lineRule="auto"/>
        <w:rPr>
          <w:rFonts w:ascii="Calibri" w:eastAsia="Times New Roman" w:hAnsi="Calibri" w:cs="Calibri"/>
          <w:b/>
          <w:bCs/>
          <w:color w:val="auto"/>
        </w:rPr>
      </w:pPr>
      <w:r w:rsidRPr="0009459B">
        <w:rPr>
          <w:rFonts w:ascii="Calibri" w:eastAsia="Times New Roman" w:hAnsi="Calibri" w:cs="Calibri"/>
          <w:b/>
          <w:bCs/>
          <w:color w:val="auto"/>
        </w:rPr>
        <w:t>1. The Input: Income as a Trigger</w:t>
      </w:r>
    </w:p>
    <w:p w14:paraId="084BFF9D" w14:textId="7D18B9C1" w:rsidR="00A94F79" w:rsidRDefault="00A94F79" w:rsidP="0009459B">
      <w:pPr>
        <w:spacing w:after="0" w:line="240" w:lineRule="auto"/>
        <w:rPr>
          <w:rFonts w:ascii="Calibri" w:eastAsia="Times New Roman" w:hAnsi="Calibri" w:cs="Calibri"/>
        </w:rPr>
      </w:pPr>
      <w:r w:rsidRPr="0009459B">
        <w:rPr>
          <w:rFonts w:ascii="Calibri" w:eastAsia="Times New Roman" w:hAnsi="Calibri" w:cs="Calibri"/>
        </w:rPr>
        <w:t>The model reads your file and sees that Albemarle’s per capita income is jumping from $45,783 to $59,433—roughly a 30% increase in purchasing power.</w:t>
      </w:r>
    </w:p>
    <w:p w14:paraId="5D64392C" w14:textId="77777777" w:rsidR="0009459B" w:rsidRPr="0009459B" w:rsidRDefault="0009459B" w:rsidP="0009459B">
      <w:pPr>
        <w:spacing w:after="0" w:line="240" w:lineRule="auto"/>
        <w:rPr>
          <w:rFonts w:ascii="Calibri" w:eastAsia="Times New Roman" w:hAnsi="Calibri" w:cs="Calibri"/>
        </w:rPr>
      </w:pPr>
    </w:p>
    <w:p w14:paraId="6699CC5A" w14:textId="77777777" w:rsidR="00A94F79" w:rsidRPr="0009459B" w:rsidRDefault="00A94F79" w:rsidP="0009459B">
      <w:pPr>
        <w:pStyle w:val="Heading4"/>
        <w:spacing w:before="0" w:after="0" w:line="240" w:lineRule="auto"/>
        <w:rPr>
          <w:rFonts w:ascii="Calibri" w:eastAsia="Times New Roman" w:hAnsi="Calibri" w:cs="Calibri"/>
          <w:b/>
          <w:bCs/>
          <w:color w:val="auto"/>
        </w:rPr>
      </w:pPr>
      <w:r w:rsidRPr="0009459B">
        <w:rPr>
          <w:rFonts w:ascii="Calibri" w:eastAsia="Times New Roman" w:hAnsi="Calibri" w:cs="Calibri"/>
          <w:b/>
          <w:bCs/>
          <w:color w:val="auto"/>
        </w:rPr>
        <w:t>2. The Behavioral Cascade</w:t>
      </w:r>
    </w:p>
    <w:p w14:paraId="271F96E5" w14:textId="77777777" w:rsidR="0009459B" w:rsidRDefault="0009459B" w:rsidP="0009459B">
      <w:pPr>
        <w:spacing w:after="0" w:line="240" w:lineRule="auto"/>
        <w:rPr>
          <w:rFonts w:ascii="Calibri" w:eastAsia="Times New Roman" w:hAnsi="Calibri" w:cs="Calibri"/>
        </w:rPr>
      </w:pPr>
    </w:p>
    <w:p w14:paraId="354179E1" w14:textId="6ECF7099" w:rsidR="00A94F79" w:rsidRDefault="00A94F79" w:rsidP="0009459B">
      <w:pPr>
        <w:spacing w:after="0" w:line="240" w:lineRule="auto"/>
        <w:rPr>
          <w:rFonts w:ascii="Calibri" w:eastAsia="Times New Roman" w:hAnsi="Calibri" w:cs="Calibri"/>
        </w:rPr>
      </w:pPr>
      <w:r w:rsidRPr="0009459B">
        <w:rPr>
          <w:rFonts w:ascii="Calibri" w:eastAsia="Times New Roman" w:hAnsi="Calibri" w:cs="Calibri"/>
        </w:rPr>
        <w:t>VisionEval doesn't just "add cars"; it simulates household choices based on that income:</w:t>
      </w:r>
    </w:p>
    <w:p w14:paraId="358C9F7E" w14:textId="77777777" w:rsidR="0009459B" w:rsidRPr="0009459B" w:rsidRDefault="0009459B" w:rsidP="0009459B">
      <w:pPr>
        <w:spacing w:after="0" w:line="240" w:lineRule="auto"/>
        <w:rPr>
          <w:rFonts w:ascii="Calibri" w:eastAsia="Times New Roman" w:hAnsi="Calibri" w:cs="Calibri"/>
        </w:rPr>
      </w:pPr>
    </w:p>
    <w:p w14:paraId="2BED76C5" w14:textId="537A7EC9" w:rsidR="00A94F79" w:rsidRDefault="00A94F79" w:rsidP="0009459B">
      <w:pPr>
        <w:pStyle w:val="ListParagraph"/>
        <w:numPr>
          <w:ilvl w:val="0"/>
          <w:numId w:val="2"/>
        </w:numPr>
        <w:spacing w:after="0" w:line="240" w:lineRule="auto"/>
        <w:rPr>
          <w:rFonts w:ascii="Calibri" w:eastAsia="Times New Roman" w:hAnsi="Calibri" w:cs="Calibri"/>
        </w:rPr>
      </w:pPr>
      <w:r w:rsidRPr="0009459B">
        <w:rPr>
          <w:rFonts w:ascii="Calibri" w:eastAsia="Times New Roman" w:hAnsi="Calibri" w:cs="Calibri"/>
          <w:b/>
          <w:bCs/>
        </w:rPr>
        <w:t>Vehicle Ownership:</w:t>
      </w:r>
      <w:r w:rsidRPr="0009459B">
        <w:rPr>
          <w:rFonts w:ascii="Calibri" w:eastAsia="Times New Roman" w:hAnsi="Calibri" w:cs="Calibri"/>
        </w:rPr>
        <w:t xml:space="preserve"> In the model's logic, a household in a lower-density area like Albemarle with an income of almost $60K is statistically more likely to own </w:t>
      </w:r>
      <w:r w:rsidRPr="0009459B">
        <w:rPr>
          <w:rFonts w:ascii="Calibri" w:eastAsia="Times New Roman" w:hAnsi="Calibri" w:cs="Calibri"/>
          <w:b/>
          <w:bCs/>
        </w:rPr>
        <w:t>three vehicles</w:t>
      </w:r>
      <w:r w:rsidRPr="0009459B">
        <w:rPr>
          <w:rFonts w:ascii="Calibri" w:eastAsia="Times New Roman" w:hAnsi="Calibri" w:cs="Calibri"/>
        </w:rPr>
        <w:t xml:space="preserve"> instead of two. The model updates the "Vehicle Availability" for thousands of simulated households in the county.</w:t>
      </w:r>
    </w:p>
    <w:p w14:paraId="759AD4F6" w14:textId="77777777" w:rsidR="0009459B" w:rsidRPr="0009459B" w:rsidRDefault="0009459B" w:rsidP="0009459B">
      <w:pPr>
        <w:pStyle w:val="ListParagraph"/>
        <w:spacing w:after="0" w:line="240" w:lineRule="auto"/>
        <w:rPr>
          <w:rFonts w:ascii="Calibri" w:eastAsia="Times New Roman" w:hAnsi="Calibri" w:cs="Calibri"/>
        </w:rPr>
      </w:pPr>
    </w:p>
    <w:p w14:paraId="4FF228B9" w14:textId="54E6DFC8" w:rsidR="00A94F79" w:rsidRPr="0009459B" w:rsidRDefault="00A94F79" w:rsidP="0009459B">
      <w:pPr>
        <w:pStyle w:val="ListParagraph"/>
        <w:numPr>
          <w:ilvl w:val="0"/>
          <w:numId w:val="2"/>
        </w:numPr>
        <w:spacing w:after="0" w:line="240" w:lineRule="auto"/>
        <w:rPr>
          <w:rFonts w:ascii="Calibri" w:eastAsia="Times New Roman" w:hAnsi="Calibri" w:cs="Calibri"/>
        </w:rPr>
      </w:pPr>
      <w:r w:rsidRPr="0009459B">
        <w:rPr>
          <w:rFonts w:ascii="Calibri" w:eastAsia="Times New Roman" w:hAnsi="Calibri" w:cs="Calibri"/>
          <w:b/>
          <w:bCs/>
        </w:rPr>
        <w:lastRenderedPageBreak/>
        <w:t>Value of Time (VOT):</w:t>
      </w:r>
      <w:r w:rsidRPr="0009459B">
        <w:rPr>
          <w:rFonts w:ascii="Calibri" w:eastAsia="Times New Roman" w:hAnsi="Calibri" w:cs="Calibri"/>
        </w:rPr>
        <w:t xml:space="preserve"> as per capita income rises, the model increases the “cost” of a person's time.</w:t>
      </w:r>
    </w:p>
    <w:p w14:paraId="18113426" w14:textId="77777777" w:rsidR="00A94F79" w:rsidRDefault="00A94F79" w:rsidP="0009459B">
      <w:pPr>
        <w:pStyle w:val="ListParagraph"/>
        <w:numPr>
          <w:ilvl w:val="1"/>
          <w:numId w:val="2"/>
        </w:numPr>
        <w:spacing w:after="0" w:line="240" w:lineRule="auto"/>
        <w:rPr>
          <w:rFonts w:ascii="Calibri" w:eastAsia="Times New Roman" w:hAnsi="Calibri" w:cs="Calibri"/>
        </w:rPr>
      </w:pPr>
      <w:r w:rsidRPr="0009459B">
        <w:rPr>
          <w:rFonts w:ascii="Calibri" w:eastAsia="Times New Roman" w:hAnsi="Calibri" w:cs="Calibri"/>
          <w:i/>
          <w:iCs/>
        </w:rPr>
        <w:t>Result:</w:t>
      </w:r>
      <w:r w:rsidRPr="0009459B">
        <w:rPr>
          <w:rFonts w:ascii="Calibri" w:eastAsia="Times New Roman" w:hAnsi="Calibri" w:cs="Calibri"/>
        </w:rPr>
        <w:t xml:space="preserve"> A simulated commuter in 2045 Albemarle becomes </w:t>
      </w:r>
      <w:r w:rsidRPr="0009459B">
        <w:rPr>
          <w:rFonts w:ascii="Calibri" w:eastAsia="Times New Roman" w:hAnsi="Calibri" w:cs="Calibri"/>
          <w:b/>
          <w:bCs/>
        </w:rPr>
        <w:t>less likely</w:t>
      </w:r>
      <w:r w:rsidRPr="0009459B">
        <w:rPr>
          <w:rFonts w:ascii="Calibri" w:eastAsia="Times New Roman" w:hAnsi="Calibri" w:cs="Calibri"/>
        </w:rPr>
        <w:t xml:space="preserve"> to take a bus (which has "waiting time" costs) and </w:t>
      </w:r>
      <w:r w:rsidRPr="0009459B">
        <w:rPr>
          <w:rFonts w:ascii="Calibri" w:eastAsia="Times New Roman" w:hAnsi="Calibri" w:cs="Calibri"/>
          <w:b/>
          <w:bCs/>
        </w:rPr>
        <w:t>more likely</w:t>
      </w:r>
      <w:r w:rsidRPr="0009459B">
        <w:rPr>
          <w:rFonts w:ascii="Calibri" w:eastAsia="Times New Roman" w:hAnsi="Calibri" w:cs="Calibri"/>
        </w:rPr>
        <w:t xml:space="preserve"> to drive a personal vehicle, because their higher income makes them willing to pay for the "convenience" of driving.</w:t>
      </w:r>
    </w:p>
    <w:p w14:paraId="2F660031" w14:textId="77777777" w:rsidR="0009459B" w:rsidRPr="0009459B" w:rsidRDefault="0009459B" w:rsidP="0009459B">
      <w:pPr>
        <w:pStyle w:val="ListParagraph"/>
        <w:spacing w:after="0" w:line="240" w:lineRule="auto"/>
        <w:ind w:left="1440"/>
        <w:rPr>
          <w:rFonts w:ascii="Calibri" w:eastAsia="Times New Roman" w:hAnsi="Calibri" w:cs="Calibri"/>
        </w:rPr>
      </w:pPr>
    </w:p>
    <w:p w14:paraId="670A61B4" w14:textId="77777777" w:rsidR="00A94F79" w:rsidRDefault="00A94F79" w:rsidP="0009459B">
      <w:pPr>
        <w:pStyle w:val="ListParagraph"/>
        <w:numPr>
          <w:ilvl w:val="0"/>
          <w:numId w:val="2"/>
        </w:numPr>
        <w:spacing w:after="0" w:line="240" w:lineRule="auto"/>
        <w:rPr>
          <w:rFonts w:ascii="Calibri" w:eastAsia="Times New Roman" w:hAnsi="Calibri" w:cs="Calibri"/>
        </w:rPr>
      </w:pPr>
      <w:r w:rsidRPr="0009459B">
        <w:rPr>
          <w:rFonts w:ascii="Calibri" w:eastAsia="Times New Roman" w:hAnsi="Calibri" w:cs="Calibri"/>
          <w:b/>
          <w:bCs/>
        </w:rPr>
        <w:t>Budgeting for Travel:</w:t>
      </w:r>
      <w:r w:rsidRPr="0009459B">
        <w:rPr>
          <w:rFonts w:ascii="Calibri" w:eastAsia="Times New Roman" w:hAnsi="Calibri" w:cs="Calibri"/>
        </w:rPr>
        <w:t xml:space="preserve"> VisionEval assumes households spend a relatively constant </w:t>
      </w:r>
      <w:r w:rsidRPr="0009459B">
        <w:rPr>
          <w:rFonts w:ascii="Calibri" w:eastAsia="Times New Roman" w:hAnsi="Calibri" w:cs="Calibri"/>
          <w:i/>
          <w:iCs/>
        </w:rPr>
        <w:t>percentage</w:t>
      </w:r>
      <w:r w:rsidRPr="0009459B">
        <w:rPr>
          <w:rFonts w:ascii="Calibri" w:eastAsia="Times New Roman" w:hAnsi="Calibri" w:cs="Calibri"/>
        </w:rPr>
        <w:t xml:space="preserve"> of their income on travel. With more money, that "travel budget" grows. This results in more discretionary trips—more weekend trips to local vineyards or more shopping trips to Charlottesville—increasing the total </w:t>
      </w:r>
      <w:r w:rsidRPr="0009459B">
        <w:rPr>
          <w:rFonts w:ascii="Calibri" w:eastAsia="Times New Roman" w:hAnsi="Calibri" w:cs="Calibri"/>
          <w:b/>
          <w:bCs/>
        </w:rPr>
        <w:t>Vehicle Miles Traveled (VMT)</w:t>
      </w:r>
      <w:r w:rsidRPr="0009459B">
        <w:rPr>
          <w:rFonts w:ascii="Calibri" w:eastAsia="Times New Roman" w:hAnsi="Calibri" w:cs="Calibri"/>
        </w:rPr>
        <w:t>.</w:t>
      </w:r>
    </w:p>
    <w:p w14:paraId="69D0A69E" w14:textId="77777777" w:rsidR="0009459B" w:rsidRPr="0009459B" w:rsidRDefault="0009459B" w:rsidP="0009459B">
      <w:pPr>
        <w:pStyle w:val="ListParagraph"/>
        <w:spacing w:after="0" w:line="240" w:lineRule="auto"/>
        <w:rPr>
          <w:rFonts w:ascii="Calibri" w:eastAsia="Times New Roman" w:hAnsi="Calibri" w:cs="Calibri"/>
        </w:rPr>
      </w:pPr>
    </w:p>
    <w:p w14:paraId="60BF000D" w14:textId="1A71E85D" w:rsidR="0009459B" w:rsidRDefault="00A94F79" w:rsidP="0009459B">
      <w:pPr>
        <w:pStyle w:val="Heading4"/>
        <w:spacing w:before="0" w:after="0" w:line="240" w:lineRule="auto"/>
        <w:rPr>
          <w:rFonts w:ascii="Calibri" w:eastAsia="Times New Roman" w:hAnsi="Calibri" w:cs="Calibri"/>
          <w:b/>
          <w:bCs/>
          <w:color w:val="auto"/>
        </w:rPr>
      </w:pPr>
      <w:r w:rsidRPr="0009459B">
        <w:rPr>
          <w:rFonts w:ascii="Calibri" w:eastAsia="Times New Roman" w:hAnsi="Calibri" w:cs="Calibri"/>
          <w:b/>
          <w:bCs/>
          <w:color w:val="auto"/>
        </w:rPr>
        <w:t>3. The Group Quarters (GQ) Factor</w:t>
      </w:r>
    </w:p>
    <w:p w14:paraId="5CAFEF5F" w14:textId="77777777" w:rsidR="0009459B" w:rsidRPr="0009459B" w:rsidRDefault="0009459B" w:rsidP="0009459B">
      <w:pPr>
        <w:spacing w:after="0" w:line="240" w:lineRule="auto"/>
      </w:pPr>
    </w:p>
    <w:p w14:paraId="5C270C1B" w14:textId="77777777" w:rsidR="00A94F79" w:rsidRDefault="00A94F79" w:rsidP="0009459B">
      <w:pPr>
        <w:pStyle w:val="ListParagraph"/>
        <w:numPr>
          <w:ilvl w:val="0"/>
          <w:numId w:val="1"/>
        </w:numPr>
        <w:spacing w:after="0" w:line="240" w:lineRule="auto"/>
        <w:rPr>
          <w:rFonts w:ascii="Calibri" w:eastAsia="Times New Roman" w:hAnsi="Calibri" w:cs="Calibri"/>
        </w:rPr>
      </w:pPr>
      <w:r w:rsidRPr="0009459B">
        <w:rPr>
          <w:rFonts w:ascii="Calibri" w:eastAsia="Times New Roman" w:hAnsi="Calibri" w:cs="Calibri"/>
        </w:rPr>
        <w:t>The model recognizes that the "Group Quarters" population (like students in dorms or residents in assisted living near Ivy) has a different travel profile.</w:t>
      </w:r>
    </w:p>
    <w:p w14:paraId="75A25E28" w14:textId="77777777" w:rsidR="0009459B" w:rsidRPr="0009459B" w:rsidRDefault="0009459B" w:rsidP="0009459B">
      <w:pPr>
        <w:pStyle w:val="ListParagraph"/>
        <w:spacing w:after="0" w:line="240" w:lineRule="auto"/>
        <w:rPr>
          <w:rFonts w:ascii="Calibri" w:eastAsia="Times New Roman" w:hAnsi="Calibri" w:cs="Calibri"/>
        </w:rPr>
      </w:pPr>
    </w:p>
    <w:p w14:paraId="61085CC5" w14:textId="77777777" w:rsidR="00A94F79" w:rsidRPr="0009459B" w:rsidRDefault="00A94F79" w:rsidP="0009459B">
      <w:pPr>
        <w:pStyle w:val="ListParagraph"/>
        <w:numPr>
          <w:ilvl w:val="0"/>
          <w:numId w:val="1"/>
        </w:numPr>
        <w:spacing w:after="0" w:line="240" w:lineRule="auto"/>
        <w:rPr>
          <w:rFonts w:ascii="Calibri" w:eastAsia="Times New Roman" w:hAnsi="Calibri" w:cs="Calibri"/>
        </w:rPr>
      </w:pPr>
      <w:r w:rsidRPr="0009459B">
        <w:rPr>
          <w:rFonts w:ascii="Calibri" w:eastAsia="Times New Roman" w:hAnsi="Calibri" w:cs="Calibri"/>
        </w:rPr>
        <w:t xml:space="preserve">Even though their income is relatively high, the model’s </w:t>
      </w:r>
      <w:r w:rsidRPr="0009459B">
        <w:rPr>
          <w:rFonts w:ascii="Calibri" w:eastAsia="Times New Roman" w:hAnsi="Calibri" w:cs="Calibri"/>
          <w:b/>
          <w:bCs/>
        </w:rPr>
        <w:t>Land Use</w:t>
      </w:r>
      <w:r w:rsidRPr="0009459B">
        <w:rPr>
          <w:rFonts w:ascii="Calibri" w:eastAsia="Times New Roman" w:hAnsi="Calibri" w:cs="Calibri"/>
        </w:rPr>
        <w:t xml:space="preserve"> component knows they live in high-density GQ housing. It will predict they have </w:t>
      </w:r>
      <w:r w:rsidRPr="0009459B">
        <w:rPr>
          <w:rFonts w:ascii="Calibri" w:eastAsia="Times New Roman" w:hAnsi="Calibri" w:cs="Calibri"/>
          <w:b/>
          <w:bCs/>
        </w:rPr>
        <w:t>lower vehicle ownership</w:t>
      </w:r>
      <w:r w:rsidRPr="0009459B">
        <w:rPr>
          <w:rFonts w:ascii="Calibri" w:eastAsia="Times New Roman" w:hAnsi="Calibri" w:cs="Calibri"/>
        </w:rPr>
        <w:t xml:space="preserve"> than a traditional household, but perhaps </w:t>
      </w:r>
      <w:r w:rsidRPr="0009459B">
        <w:rPr>
          <w:rFonts w:ascii="Calibri" w:eastAsia="Times New Roman" w:hAnsi="Calibri" w:cs="Calibri"/>
          <w:b/>
          <w:bCs/>
        </w:rPr>
        <w:t>higher use of ride-hail services</w:t>
      </w:r>
      <w:r w:rsidRPr="0009459B">
        <w:rPr>
          <w:rFonts w:ascii="Calibri" w:eastAsia="Times New Roman" w:hAnsi="Calibri" w:cs="Calibri"/>
        </w:rPr>
        <w:t xml:space="preserve"> (like Uber/Lyft) because they have the disposable income but lacks a personal car.</w:t>
      </w:r>
    </w:p>
    <w:p w14:paraId="18DBE02A" w14:textId="77777777" w:rsidR="00A94F79" w:rsidRPr="0009459B" w:rsidRDefault="00A94F79" w:rsidP="0009459B">
      <w:pPr>
        <w:spacing w:after="0" w:line="240" w:lineRule="auto"/>
        <w:rPr>
          <w:rFonts w:ascii="Calibri" w:eastAsia="Times New Roman" w:hAnsi="Calibri" w:cs="Calibri"/>
        </w:rPr>
      </w:pPr>
    </w:p>
    <w:p w14:paraId="463362A1" w14:textId="77777777" w:rsidR="00A94F79" w:rsidRDefault="00A94F79" w:rsidP="0009459B">
      <w:pPr>
        <w:pStyle w:val="Heading3"/>
        <w:spacing w:before="0" w:after="0" w:line="240" w:lineRule="auto"/>
        <w:rPr>
          <w:rFonts w:ascii="Calibri" w:eastAsia="Times New Roman" w:hAnsi="Calibri" w:cs="Calibri"/>
          <w:b/>
          <w:bCs/>
          <w:color w:val="auto"/>
          <w:sz w:val="24"/>
          <w:szCs w:val="24"/>
        </w:rPr>
      </w:pPr>
      <w:r w:rsidRPr="0009459B">
        <w:rPr>
          <w:rFonts w:ascii="Calibri" w:eastAsia="Times New Roman" w:hAnsi="Calibri" w:cs="Calibri"/>
          <w:b/>
          <w:bCs/>
          <w:color w:val="auto"/>
          <w:sz w:val="24"/>
          <w:szCs w:val="24"/>
        </w:rPr>
        <w:t>4. The Output: Policy Decisions</w:t>
      </w:r>
    </w:p>
    <w:p w14:paraId="65A71F53" w14:textId="77777777" w:rsidR="0009459B" w:rsidRPr="0009459B" w:rsidRDefault="0009459B" w:rsidP="0009459B"/>
    <w:p w14:paraId="3C5B9D3F" w14:textId="68A13277" w:rsidR="00A94F79" w:rsidRDefault="00A94F79" w:rsidP="0009459B">
      <w:pPr>
        <w:spacing w:after="0" w:line="240" w:lineRule="auto"/>
        <w:rPr>
          <w:rFonts w:ascii="Calibri" w:eastAsia="Times New Roman" w:hAnsi="Calibri" w:cs="Calibri"/>
        </w:rPr>
      </w:pPr>
      <w:r w:rsidRPr="0009459B">
        <w:rPr>
          <w:rFonts w:ascii="Calibri" w:eastAsia="Times New Roman" w:hAnsi="Calibri" w:cs="Calibri"/>
        </w:rPr>
        <w:t>When you run the model with your data, the Ouput could tell a specific story—here is an example:</w:t>
      </w:r>
    </w:p>
    <w:p w14:paraId="0FC1C6F3" w14:textId="77777777" w:rsidR="0009459B" w:rsidRDefault="0009459B" w:rsidP="0009459B">
      <w:pPr>
        <w:spacing w:after="0" w:line="240" w:lineRule="auto"/>
        <w:rPr>
          <w:rFonts w:ascii="Calibri" w:eastAsia="Times New Roman" w:hAnsi="Calibri" w:cs="Calibri"/>
        </w:rPr>
      </w:pPr>
    </w:p>
    <w:p w14:paraId="08F0AB53" w14:textId="227AE9B1" w:rsidR="0009459B" w:rsidRPr="0009459B" w:rsidRDefault="0009459B" w:rsidP="0009459B">
      <w:pPr>
        <w:spacing w:after="0" w:line="240" w:lineRule="auto"/>
        <w:rPr>
          <w:rFonts w:ascii="Calibri" w:eastAsia="Times New Roman" w:hAnsi="Calibri" w:cs="Calibri"/>
        </w:rPr>
      </w:pPr>
      <w:r w:rsidRPr="0009459B">
        <w:rPr>
          <w:rFonts w:ascii="Calibri" w:eastAsia="Times New Roman" w:hAnsi="Calibri" w:cs="Calibri"/>
          <w:b/>
          <w:bCs/>
          <w:sz w:val="20"/>
          <w:szCs w:val="20"/>
        </w:rPr>
        <w:t>Table 2.  (To be replaced with real data from the multimodal module)</w:t>
      </w:r>
    </w:p>
    <w:tbl>
      <w:tblPr>
        <w:tblW w:w="0" w:type="auto"/>
        <w:tblLook w:val="06A0" w:firstRow="1" w:lastRow="0" w:firstColumn="1" w:lastColumn="0" w:noHBand="1" w:noVBand="1"/>
      </w:tblPr>
      <w:tblGrid>
        <w:gridCol w:w="1760"/>
        <w:gridCol w:w="1794"/>
        <w:gridCol w:w="1818"/>
        <w:gridCol w:w="4243"/>
      </w:tblGrid>
      <w:tr w:rsidR="00A94F79" w:rsidRPr="0009459B" w14:paraId="4BB310A3" w14:textId="77777777" w:rsidTr="0009459B">
        <w:trPr>
          <w:trHeight w:val="300"/>
        </w:trPr>
        <w:tc>
          <w:tcPr>
            <w:tcW w:w="1760" w:type="dxa"/>
            <w:tcBorders>
              <w:top w:val="single" w:sz="6" w:space="0" w:color="auto"/>
              <w:left w:val="single" w:sz="6" w:space="0" w:color="auto"/>
              <w:bottom w:val="single" w:sz="6" w:space="0" w:color="auto"/>
              <w:right w:val="single" w:sz="6" w:space="0" w:color="auto"/>
            </w:tcBorders>
            <w:vAlign w:val="center"/>
          </w:tcPr>
          <w:p w14:paraId="21AC3CCD" w14:textId="77777777" w:rsidR="00A94F79" w:rsidRPr="0009459B" w:rsidRDefault="00A94F79" w:rsidP="0009459B">
            <w:pPr>
              <w:spacing w:after="0" w:line="240" w:lineRule="auto"/>
              <w:rPr>
                <w:rFonts w:ascii="Calibri" w:eastAsia="Times New Roman" w:hAnsi="Calibri" w:cs="Calibri"/>
                <w:b/>
                <w:bCs/>
                <w:sz w:val="20"/>
                <w:szCs w:val="20"/>
              </w:rPr>
            </w:pPr>
            <w:r w:rsidRPr="0009459B">
              <w:rPr>
                <w:rFonts w:ascii="Calibri" w:eastAsia="Times New Roman" w:hAnsi="Calibri" w:cs="Calibri"/>
                <w:b/>
                <w:bCs/>
                <w:sz w:val="20"/>
                <w:szCs w:val="20"/>
              </w:rPr>
              <w:t>Metric</w:t>
            </w:r>
          </w:p>
        </w:tc>
        <w:tc>
          <w:tcPr>
            <w:tcW w:w="1794" w:type="dxa"/>
            <w:tcBorders>
              <w:top w:val="single" w:sz="6" w:space="0" w:color="auto"/>
              <w:left w:val="single" w:sz="6" w:space="0" w:color="auto"/>
              <w:bottom w:val="single" w:sz="6" w:space="0" w:color="auto"/>
              <w:right w:val="single" w:sz="6" w:space="0" w:color="auto"/>
            </w:tcBorders>
            <w:vAlign w:val="center"/>
          </w:tcPr>
          <w:p w14:paraId="67A53FD0" w14:textId="4C000797" w:rsidR="00A94F79" w:rsidRPr="0009459B" w:rsidRDefault="00A94F79" w:rsidP="0009459B">
            <w:pPr>
              <w:spacing w:after="0" w:line="240" w:lineRule="auto"/>
              <w:rPr>
                <w:rFonts w:ascii="Calibri" w:eastAsia="Times New Roman" w:hAnsi="Calibri" w:cs="Calibri"/>
                <w:b/>
                <w:bCs/>
                <w:sz w:val="20"/>
                <w:szCs w:val="20"/>
              </w:rPr>
            </w:pPr>
            <w:r w:rsidRPr="0009459B">
              <w:rPr>
                <w:rFonts w:ascii="Calibri" w:eastAsia="Times New Roman" w:hAnsi="Calibri" w:cs="Calibri"/>
                <w:b/>
                <w:bCs/>
                <w:sz w:val="20"/>
                <w:szCs w:val="20"/>
              </w:rPr>
              <w:t>2045 income does not grow from 2024</w:t>
            </w:r>
          </w:p>
        </w:tc>
        <w:tc>
          <w:tcPr>
            <w:tcW w:w="1818" w:type="dxa"/>
            <w:tcBorders>
              <w:top w:val="single" w:sz="6" w:space="0" w:color="auto"/>
              <w:left w:val="single" w:sz="6" w:space="0" w:color="auto"/>
              <w:bottom w:val="single" w:sz="6" w:space="0" w:color="auto"/>
              <w:right w:val="single" w:sz="6" w:space="0" w:color="auto"/>
            </w:tcBorders>
            <w:vAlign w:val="center"/>
          </w:tcPr>
          <w:p w14:paraId="498E095F" w14:textId="0973AA8D" w:rsidR="00A94F79" w:rsidRPr="0009459B" w:rsidRDefault="00A94F79" w:rsidP="0009459B">
            <w:pPr>
              <w:spacing w:after="0" w:line="240" w:lineRule="auto"/>
              <w:rPr>
                <w:rFonts w:ascii="Calibri" w:eastAsia="Times New Roman" w:hAnsi="Calibri" w:cs="Calibri"/>
                <w:b/>
                <w:bCs/>
                <w:sz w:val="20"/>
                <w:szCs w:val="20"/>
              </w:rPr>
            </w:pPr>
            <w:r w:rsidRPr="0009459B">
              <w:rPr>
                <w:rFonts w:ascii="Calibri" w:eastAsia="Times New Roman" w:hAnsi="Calibri" w:cs="Calibri"/>
                <w:b/>
                <w:bCs/>
                <w:sz w:val="20"/>
                <w:szCs w:val="20"/>
              </w:rPr>
              <w:t>2045 income grows as forecast from 2024</w:t>
            </w:r>
          </w:p>
        </w:tc>
        <w:tc>
          <w:tcPr>
            <w:tcW w:w="4243" w:type="dxa"/>
            <w:tcBorders>
              <w:top w:val="single" w:sz="6" w:space="0" w:color="auto"/>
              <w:left w:val="single" w:sz="6" w:space="0" w:color="auto"/>
              <w:bottom w:val="single" w:sz="6" w:space="0" w:color="auto"/>
              <w:right w:val="single" w:sz="6" w:space="0" w:color="auto"/>
            </w:tcBorders>
            <w:vAlign w:val="center"/>
          </w:tcPr>
          <w:p w14:paraId="690A502F" w14:textId="77777777" w:rsidR="00A94F79" w:rsidRPr="0009459B" w:rsidRDefault="00A94F79" w:rsidP="0009459B">
            <w:pPr>
              <w:spacing w:after="0" w:line="240" w:lineRule="auto"/>
              <w:rPr>
                <w:rFonts w:ascii="Calibri" w:eastAsia="Times New Roman" w:hAnsi="Calibri" w:cs="Calibri"/>
                <w:b/>
                <w:bCs/>
                <w:sz w:val="20"/>
                <w:szCs w:val="20"/>
              </w:rPr>
            </w:pPr>
            <w:r w:rsidRPr="0009459B">
              <w:rPr>
                <w:rFonts w:ascii="Calibri" w:eastAsia="Times New Roman" w:hAnsi="Calibri" w:cs="Calibri"/>
                <w:b/>
                <w:bCs/>
                <w:sz w:val="20"/>
                <w:szCs w:val="20"/>
              </w:rPr>
              <w:t>Impact</w:t>
            </w:r>
          </w:p>
        </w:tc>
      </w:tr>
      <w:tr w:rsidR="00A94F79" w:rsidRPr="0009459B" w14:paraId="62BD3D05" w14:textId="77777777" w:rsidTr="0009459B">
        <w:trPr>
          <w:trHeight w:val="300"/>
        </w:trPr>
        <w:tc>
          <w:tcPr>
            <w:tcW w:w="1760" w:type="dxa"/>
            <w:tcBorders>
              <w:top w:val="single" w:sz="6" w:space="0" w:color="auto"/>
              <w:left w:val="single" w:sz="6" w:space="0" w:color="auto"/>
              <w:bottom w:val="single" w:sz="6" w:space="0" w:color="auto"/>
              <w:right w:val="single" w:sz="6" w:space="0" w:color="auto"/>
            </w:tcBorders>
            <w:vAlign w:val="center"/>
          </w:tcPr>
          <w:p w14:paraId="2F9216D5" w14:textId="77777777" w:rsidR="00A94F79" w:rsidRPr="0009459B" w:rsidRDefault="00A94F79" w:rsidP="0009459B">
            <w:pPr>
              <w:spacing w:after="0" w:line="240" w:lineRule="auto"/>
              <w:rPr>
                <w:rFonts w:ascii="Calibri" w:eastAsia="Times New Roman" w:hAnsi="Calibri" w:cs="Calibri"/>
                <w:b/>
                <w:bCs/>
                <w:sz w:val="20"/>
                <w:szCs w:val="20"/>
              </w:rPr>
            </w:pPr>
            <w:r w:rsidRPr="0009459B">
              <w:rPr>
                <w:rFonts w:ascii="Calibri" w:eastAsia="Times New Roman" w:hAnsi="Calibri" w:cs="Calibri"/>
                <w:b/>
                <w:bCs/>
                <w:sz w:val="20"/>
                <w:szCs w:val="20"/>
              </w:rPr>
              <w:t>Daily VMT</w:t>
            </w:r>
          </w:p>
        </w:tc>
        <w:tc>
          <w:tcPr>
            <w:tcW w:w="1794" w:type="dxa"/>
            <w:tcBorders>
              <w:top w:val="single" w:sz="6" w:space="0" w:color="auto"/>
              <w:left w:val="single" w:sz="6" w:space="0" w:color="auto"/>
              <w:bottom w:val="single" w:sz="6" w:space="0" w:color="auto"/>
              <w:right w:val="single" w:sz="6" w:space="0" w:color="auto"/>
            </w:tcBorders>
            <w:vAlign w:val="center"/>
          </w:tcPr>
          <w:p w14:paraId="1282A626" w14:textId="77777777" w:rsidR="00A94F79" w:rsidRPr="0009459B" w:rsidRDefault="00A94F79" w:rsidP="0009459B">
            <w:pPr>
              <w:spacing w:after="0" w:line="240" w:lineRule="auto"/>
              <w:rPr>
                <w:rFonts w:ascii="Calibri" w:eastAsia="Times New Roman" w:hAnsi="Calibri" w:cs="Calibri"/>
                <w:sz w:val="20"/>
                <w:szCs w:val="20"/>
                <w:highlight w:val="yellow"/>
              </w:rPr>
            </w:pPr>
            <w:r w:rsidRPr="0009459B">
              <w:rPr>
                <w:rFonts w:ascii="Calibri" w:eastAsia="Times New Roman" w:hAnsi="Calibri" w:cs="Calibri"/>
                <w:sz w:val="20"/>
                <w:szCs w:val="20"/>
                <w:highlight w:val="yellow"/>
              </w:rPr>
              <w:t>Baseline</w:t>
            </w:r>
          </w:p>
        </w:tc>
        <w:tc>
          <w:tcPr>
            <w:tcW w:w="1818" w:type="dxa"/>
            <w:tcBorders>
              <w:top w:val="single" w:sz="6" w:space="0" w:color="auto"/>
              <w:left w:val="single" w:sz="6" w:space="0" w:color="auto"/>
              <w:bottom w:val="single" w:sz="6" w:space="0" w:color="auto"/>
              <w:right w:val="single" w:sz="6" w:space="0" w:color="auto"/>
            </w:tcBorders>
            <w:vAlign w:val="center"/>
          </w:tcPr>
          <w:p w14:paraId="392CBF32" w14:textId="77777777" w:rsidR="00A94F79" w:rsidRPr="0009459B" w:rsidRDefault="00A94F79" w:rsidP="0009459B">
            <w:pPr>
              <w:spacing w:after="0" w:line="240" w:lineRule="auto"/>
              <w:rPr>
                <w:rFonts w:ascii="Calibri" w:eastAsia="Times New Roman" w:hAnsi="Calibri" w:cs="Calibri"/>
                <w:b/>
                <w:bCs/>
                <w:sz w:val="20"/>
                <w:szCs w:val="20"/>
                <w:highlight w:val="yellow"/>
              </w:rPr>
            </w:pPr>
            <w:r w:rsidRPr="0009459B">
              <w:rPr>
                <w:rFonts w:ascii="Calibri" w:eastAsia="Times New Roman" w:hAnsi="Calibri" w:cs="Calibri"/>
                <w:b/>
                <w:bCs/>
                <w:sz w:val="20"/>
                <w:szCs w:val="20"/>
                <w:highlight w:val="yellow"/>
              </w:rPr>
              <w:t>+22%</w:t>
            </w:r>
          </w:p>
        </w:tc>
        <w:tc>
          <w:tcPr>
            <w:tcW w:w="4243" w:type="dxa"/>
            <w:tcBorders>
              <w:top w:val="single" w:sz="6" w:space="0" w:color="auto"/>
              <w:left w:val="single" w:sz="6" w:space="0" w:color="auto"/>
              <w:bottom w:val="single" w:sz="6" w:space="0" w:color="auto"/>
              <w:right w:val="single" w:sz="6" w:space="0" w:color="auto"/>
            </w:tcBorders>
            <w:vAlign w:val="center"/>
          </w:tcPr>
          <w:p w14:paraId="04AFAE45" w14:textId="77777777" w:rsidR="00A94F79" w:rsidRPr="0009459B" w:rsidRDefault="00A94F79" w:rsidP="0009459B">
            <w:pPr>
              <w:spacing w:after="0" w:line="240" w:lineRule="auto"/>
              <w:rPr>
                <w:rFonts w:ascii="Calibri" w:eastAsia="Times New Roman" w:hAnsi="Calibri" w:cs="Calibri"/>
                <w:sz w:val="20"/>
                <w:szCs w:val="20"/>
              </w:rPr>
            </w:pPr>
            <w:r w:rsidRPr="0009459B">
              <w:rPr>
                <w:rFonts w:ascii="Calibri" w:eastAsia="Times New Roman" w:hAnsi="Calibri" w:cs="Calibri"/>
                <w:sz w:val="20"/>
                <w:szCs w:val="20"/>
              </w:rPr>
              <w:t>Higher congestion on Route 29.</w:t>
            </w:r>
          </w:p>
        </w:tc>
      </w:tr>
      <w:tr w:rsidR="00A94F79" w:rsidRPr="0009459B" w14:paraId="20AA8116" w14:textId="77777777" w:rsidTr="0009459B">
        <w:trPr>
          <w:trHeight w:val="300"/>
        </w:trPr>
        <w:tc>
          <w:tcPr>
            <w:tcW w:w="1760" w:type="dxa"/>
            <w:tcBorders>
              <w:top w:val="single" w:sz="6" w:space="0" w:color="auto"/>
              <w:left w:val="single" w:sz="6" w:space="0" w:color="auto"/>
              <w:bottom w:val="single" w:sz="6" w:space="0" w:color="auto"/>
              <w:right w:val="single" w:sz="6" w:space="0" w:color="auto"/>
            </w:tcBorders>
            <w:vAlign w:val="center"/>
          </w:tcPr>
          <w:p w14:paraId="10DACC40" w14:textId="77777777" w:rsidR="00A94F79" w:rsidRPr="0009459B" w:rsidRDefault="00A94F79" w:rsidP="0009459B">
            <w:pPr>
              <w:spacing w:after="0" w:line="240" w:lineRule="auto"/>
              <w:rPr>
                <w:rFonts w:ascii="Calibri" w:eastAsia="Times New Roman" w:hAnsi="Calibri" w:cs="Calibri"/>
                <w:b/>
                <w:bCs/>
                <w:sz w:val="20"/>
                <w:szCs w:val="20"/>
              </w:rPr>
            </w:pPr>
            <w:r w:rsidRPr="0009459B">
              <w:rPr>
                <w:rFonts w:ascii="Calibri" w:eastAsia="Times New Roman" w:hAnsi="Calibri" w:cs="Calibri"/>
                <w:b/>
                <w:bCs/>
                <w:sz w:val="20"/>
                <w:szCs w:val="20"/>
              </w:rPr>
              <w:t>Mode Share</w:t>
            </w:r>
          </w:p>
        </w:tc>
        <w:tc>
          <w:tcPr>
            <w:tcW w:w="1794" w:type="dxa"/>
            <w:tcBorders>
              <w:top w:val="single" w:sz="6" w:space="0" w:color="auto"/>
              <w:left w:val="single" w:sz="6" w:space="0" w:color="auto"/>
              <w:bottom w:val="single" w:sz="6" w:space="0" w:color="auto"/>
              <w:right w:val="single" w:sz="6" w:space="0" w:color="auto"/>
            </w:tcBorders>
            <w:vAlign w:val="center"/>
          </w:tcPr>
          <w:p w14:paraId="34DA6826" w14:textId="77777777" w:rsidR="00A94F79" w:rsidRPr="0009459B" w:rsidRDefault="00A94F79" w:rsidP="0009459B">
            <w:pPr>
              <w:spacing w:after="0" w:line="240" w:lineRule="auto"/>
              <w:rPr>
                <w:rFonts w:ascii="Calibri" w:eastAsia="Times New Roman" w:hAnsi="Calibri" w:cs="Calibri"/>
                <w:sz w:val="20"/>
                <w:szCs w:val="20"/>
                <w:highlight w:val="yellow"/>
              </w:rPr>
            </w:pPr>
            <w:r w:rsidRPr="0009459B">
              <w:rPr>
                <w:rFonts w:ascii="Calibri" w:eastAsia="Times New Roman" w:hAnsi="Calibri" w:cs="Calibri"/>
                <w:sz w:val="20"/>
                <w:szCs w:val="20"/>
                <w:highlight w:val="yellow"/>
              </w:rPr>
              <w:t>5% Transit/Walk</w:t>
            </w:r>
          </w:p>
        </w:tc>
        <w:tc>
          <w:tcPr>
            <w:tcW w:w="1818" w:type="dxa"/>
            <w:tcBorders>
              <w:top w:val="single" w:sz="6" w:space="0" w:color="auto"/>
              <w:left w:val="single" w:sz="6" w:space="0" w:color="auto"/>
              <w:bottom w:val="single" w:sz="6" w:space="0" w:color="auto"/>
              <w:right w:val="single" w:sz="6" w:space="0" w:color="auto"/>
            </w:tcBorders>
            <w:vAlign w:val="center"/>
          </w:tcPr>
          <w:p w14:paraId="39DA5CC9" w14:textId="77777777" w:rsidR="00A94F79" w:rsidRPr="0009459B" w:rsidRDefault="00A94F79" w:rsidP="0009459B">
            <w:pPr>
              <w:spacing w:after="0" w:line="240" w:lineRule="auto"/>
              <w:rPr>
                <w:rFonts w:ascii="Calibri" w:eastAsia="Times New Roman" w:hAnsi="Calibri" w:cs="Calibri"/>
                <w:b/>
                <w:bCs/>
                <w:sz w:val="20"/>
                <w:szCs w:val="20"/>
                <w:highlight w:val="yellow"/>
              </w:rPr>
            </w:pPr>
            <w:r w:rsidRPr="0009459B">
              <w:rPr>
                <w:rFonts w:ascii="Calibri" w:eastAsia="Times New Roman" w:hAnsi="Calibri" w:cs="Calibri"/>
                <w:b/>
                <w:bCs/>
                <w:sz w:val="20"/>
                <w:szCs w:val="20"/>
                <w:highlight w:val="yellow"/>
              </w:rPr>
              <w:t>3% Transit/Walk</w:t>
            </w:r>
          </w:p>
        </w:tc>
        <w:tc>
          <w:tcPr>
            <w:tcW w:w="4243" w:type="dxa"/>
            <w:tcBorders>
              <w:top w:val="single" w:sz="6" w:space="0" w:color="auto"/>
              <w:left w:val="single" w:sz="6" w:space="0" w:color="auto"/>
              <w:bottom w:val="single" w:sz="6" w:space="0" w:color="auto"/>
              <w:right w:val="single" w:sz="6" w:space="0" w:color="auto"/>
            </w:tcBorders>
            <w:vAlign w:val="center"/>
          </w:tcPr>
          <w:p w14:paraId="092662D7" w14:textId="77777777" w:rsidR="00A94F79" w:rsidRPr="0009459B" w:rsidRDefault="00A94F79" w:rsidP="0009459B">
            <w:pPr>
              <w:spacing w:after="0" w:line="240" w:lineRule="auto"/>
              <w:rPr>
                <w:rFonts w:ascii="Calibri" w:eastAsia="Times New Roman" w:hAnsi="Calibri" w:cs="Calibri"/>
                <w:sz w:val="20"/>
                <w:szCs w:val="20"/>
              </w:rPr>
            </w:pPr>
            <w:r w:rsidRPr="0009459B">
              <w:rPr>
                <w:rFonts w:ascii="Calibri" w:eastAsia="Times New Roman" w:hAnsi="Calibri" w:cs="Calibri"/>
                <w:sz w:val="20"/>
                <w:szCs w:val="20"/>
              </w:rPr>
              <w:t>Wealth "outpaces" transit; people prefer cars.</w:t>
            </w:r>
          </w:p>
        </w:tc>
      </w:tr>
      <w:tr w:rsidR="00A94F79" w:rsidRPr="0009459B" w14:paraId="7DA15D8F" w14:textId="77777777" w:rsidTr="0009459B">
        <w:trPr>
          <w:trHeight w:val="300"/>
        </w:trPr>
        <w:tc>
          <w:tcPr>
            <w:tcW w:w="1760" w:type="dxa"/>
            <w:tcBorders>
              <w:top w:val="single" w:sz="6" w:space="0" w:color="auto"/>
              <w:left w:val="single" w:sz="6" w:space="0" w:color="auto"/>
              <w:bottom w:val="single" w:sz="6" w:space="0" w:color="auto"/>
              <w:right w:val="single" w:sz="6" w:space="0" w:color="auto"/>
            </w:tcBorders>
            <w:vAlign w:val="center"/>
          </w:tcPr>
          <w:p w14:paraId="4826FE8F" w14:textId="77777777" w:rsidR="00A94F79" w:rsidRPr="0009459B" w:rsidRDefault="00A94F79" w:rsidP="0009459B">
            <w:pPr>
              <w:spacing w:after="0" w:line="240" w:lineRule="auto"/>
              <w:rPr>
                <w:rFonts w:ascii="Calibri" w:eastAsia="Times New Roman" w:hAnsi="Calibri" w:cs="Calibri"/>
                <w:b/>
                <w:bCs/>
                <w:sz w:val="20"/>
                <w:szCs w:val="20"/>
              </w:rPr>
            </w:pPr>
            <w:r w:rsidRPr="0009459B">
              <w:rPr>
                <w:rFonts w:ascii="Calibri" w:eastAsia="Times New Roman" w:hAnsi="Calibri" w:cs="Calibri"/>
                <w:b/>
                <w:bCs/>
                <w:sz w:val="20"/>
                <w:szCs w:val="20"/>
              </w:rPr>
              <w:t>CO2 Emissions</w:t>
            </w:r>
          </w:p>
        </w:tc>
        <w:tc>
          <w:tcPr>
            <w:tcW w:w="1794" w:type="dxa"/>
            <w:tcBorders>
              <w:top w:val="single" w:sz="6" w:space="0" w:color="auto"/>
              <w:left w:val="single" w:sz="6" w:space="0" w:color="auto"/>
              <w:bottom w:val="single" w:sz="6" w:space="0" w:color="auto"/>
              <w:right w:val="single" w:sz="6" w:space="0" w:color="auto"/>
            </w:tcBorders>
            <w:vAlign w:val="center"/>
          </w:tcPr>
          <w:p w14:paraId="1B009E6D" w14:textId="77777777" w:rsidR="00A94F79" w:rsidRPr="0009459B" w:rsidRDefault="00A94F79" w:rsidP="0009459B">
            <w:pPr>
              <w:spacing w:after="0" w:line="240" w:lineRule="auto"/>
              <w:rPr>
                <w:rFonts w:ascii="Calibri" w:eastAsia="Times New Roman" w:hAnsi="Calibri" w:cs="Calibri"/>
                <w:sz w:val="20"/>
                <w:szCs w:val="20"/>
                <w:highlight w:val="yellow"/>
              </w:rPr>
            </w:pPr>
            <w:r w:rsidRPr="0009459B">
              <w:rPr>
                <w:rFonts w:ascii="Calibri" w:eastAsia="Times New Roman" w:hAnsi="Calibri" w:cs="Calibri"/>
                <w:sz w:val="20"/>
                <w:szCs w:val="20"/>
                <w:highlight w:val="yellow"/>
              </w:rPr>
              <w:t>Baseline</w:t>
            </w:r>
          </w:p>
        </w:tc>
        <w:tc>
          <w:tcPr>
            <w:tcW w:w="1818" w:type="dxa"/>
            <w:tcBorders>
              <w:top w:val="single" w:sz="6" w:space="0" w:color="auto"/>
              <w:left w:val="single" w:sz="6" w:space="0" w:color="auto"/>
              <w:bottom w:val="single" w:sz="6" w:space="0" w:color="auto"/>
              <w:right w:val="single" w:sz="6" w:space="0" w:color="auto"/>
            </w:tcBorders>
            <w:vAlign w:val="center"/>
          </w:tcPr>
          <w:p w14:paraId="01CA7359" w14:textId="77777777" w:rsidR="00A94F79" w:rsidRPr="0009459B" w:rsidRDefault="00A94F79" w:rsidP="0009459B">
            <w:pPr>
              <w:spacing w:after="0" w:line="240" w:lineRule="auto"/>
              <w:rPr>
                <w:rFonts w:ascii="Calibri" w:eastAsia="Times New Roman" w:hAnsi="Calibri" w:cs="Calibri"/>
                <w:b/>
                <w:bCs/>
                <w:sz w:val="20"/>
                <w:szCs w:val="20"/>
                <w:highlight w:val="yellow"/>
              </w:rPr>
            </w:pPr>
            <w:r w:rsidRPr="0009459B">
              <w:rPr>
                <w:rFonts w:ascii="Calibri" w:eastAsia="Times New Roman" w:hAnsi="Calibri" w:cs="Calibri"/>
                <w:b/>
                <w:bCs/>
                <w:sz w:val="20"/>
                <w:szCs w:val="20"/>
                <w:highlight w:val="yellow"/>
              </w:rPr>
              <w:t>+15%</w:t>
            </w:r>
          </w:p>
        </w:tc>
        <w:tc>
          <w:tcPr>
            <w:tcW w:w="4243" w:type="dxa"/>
            <w:tcBorders>
              <w:top w:val="single" w:sz="6" w:space="0" w:color="auto"/>
              <w:left w:val="single" w:sz="6" w:space="0" w:color="auto"/>
              <w:bottom w:val="single" w:sz="6" w:space="0" w:color="auto"/>
              <w:right w:val="single" w:sz="6" w:space="0" w:color="auto"/>
            </w:tcBorders>
            <w:vAlign w:val="center"/>
          </w:tcPr>
          <w:p w14:paraId="4EB7D634" w14:textId="77777777" w:rsidR="00A94F79" w:rsidRPr="0009459B" w:rsidRDefault="00A94F79" w:rsidP="0009459B">
            <w:pPr>
              <w:spacing w:after="0" w:line="240" w:lineRule="auto"/>
              <w:rPr>
                <w:rFonts w:ascii="Calibri" w:eastAsia="Times New Roman" w:hAnsi="Calibri" w:cs="Calibri"/>
                <w:sz w:val="20"/>
                <w:szCs w:val="20"/>
              </w:rPr>
            </w:pPr>
            <w:r w:rsidRPr="0009459B">
              <w:rPr>
                <w:rFonts w:ascii="Calibri" w:eastAsia="Times New Roman" w:hAnsi="Calibri" w:cs="Calibri"/>
                <w:sz w:val="20"/>
                <w:szCs w:val="20"/>
              </w:rPr>
              <w:t>Higher income = more driving = more emissions.</w:t>
            </w:r>
          </w:p>
        </w:tc>
      </w:tr>
    </w:tbl>
    <w:p w14:paraId="79AA89C2" w14:textId="77777777" w:rsidR="0009459B" w:rsidRDefault="0009459B" w:rsidP="0009459B">
      <w:pPr>
        <w:pStyle w:val="Heading2"/>
        <w:spacing w:before="0" w:after="0" w:line="240" w:lineRule="auto"/>
        <w:rPr>
          <w:rFonts w:ascii="Calibri" w:eastAsia="Times New Roman" w:hAnsi="Calibri" w:cs="Calibri"/>
          <w:b/>
          <w:bCs/>
          <w:color w:val="auto"/>
          <w:sz w:val="24"/>
          <w:szCs w:val="24"/>
        </w:rPr>
      </w:pPr>
    </w:p>
    <w:p w14:paraId="23F6CEC9" w14:textId="13E95690" w:rsidR="00A94F79" w:rsidRDefault="00A94F79" w:rsidP="0009459B">
      <w:pPr>
        <w:pStyle w:val="Heading2"/>
        <w:spacing w:before="0" w:after="0" w:line="240" w:lineRule="auto"/>
        <w:rPr>
          <w:rFonts w:ascii="Calibri" w:eastAsia="Times New Roman" w:hAnsi="Calibri" w:cs="Calibri"/>
          <w:b/>
          <w:bCs/>
          <w:color w:val="auto"/>
          <w:sz w:val="24"/>
          <w:szCs w:val="24"/>
        </w:rPr>
      </w:pPr>
      <w:r w:rsidRPr="0009459B">
        <w:rPr>
          <w:rFonts w:ascii="Calibri" w:eastAsia="Times New Roman" w:hAnsi="Calibri" w:cs="Calibri"/>
          <w:b/>
          <w:bCs/>
          <w:color w:val="auto"/>
          <w:sz w:val="24"/>
          <w:szCs w:val="24"/>
        </w:rPr>
        <w:t>Method Used for Virginia</w:t>
      </w:r>
    </w:p>
    <w:p w14:paraId="59C7A6C1" w14:textId="77777777" w:rsidR="0009459B" w:rsidRPr="0009459B" w:rsidRDefault="0009459B" w:rsidP="0009459B">
      <w:pPr>
        <w:spacing w:after="0" w:line="240" w:lineRule="auto"/>
      </w:pPr>
    </w:p>
    <w:p w14:paraId="23D39378" w14:textId="0F630FB8" w:rsidR="001A7B3B" w:rsidRDefault="001A7B3B" w:rsidP="0009459B">
      <w:pPr>
        <w:spacing w:after="0" w:line="240" w:lineRule="auto"/>
        <w:rPr>
          <w:rFonts w:ascii="Calibri" w:eastAsia="Times New Roman" w:hAnsi="Calibri" w:cs="Calibri"/>
          <w:i/>
          <w:iCs/>
        </w:rPr>
      </w:pPr>
      <w:r w:rsidRPr="0009459B">
        <w:rPr>
          <w:rFonts w:ascii="Calibri" w:eastAsia="Times New Roman" w:hAnsi="Calibri" w:cs="Calibri"/>
          <w:i/>
          <w:iCs/>
        </w:rPr>
        <w:t>Base Year</w:t>
      </w:r>
    </w:p>
    <w:p w14:paraId="47F018F4" w14:textId="77777777" w:rsidR="0009459B" w:rsidRPr="0009459B" w:rsidRDefault="0009459B" w:rsidP="0009459B">
      <w:pPr>
        <w:spacing w:after="0" w:line="240" w:lineRule="auto"/>
        <w:rPr>
          <w:rFonts w:ascii="Calibri" w:eastAsia="Times New Roman" w:hAnsi="Calibri" w:cs="Calibri"/>
          <w:i/>
          <w:iCs/>
        </w:rPr>
      </w:pPr>
    </w:p>
    <w:p w14:paraId="44B11162" w14:textId="181EE25B" w:rsidR="008D5915" w:rsidRDefault="00D1157E" w:rsidP="0009459B">
      <w:pPr>
        <w:spacing w:after="0" w:line="240" w:lineRule="auto"/>
        <w:ind w:firstLine="720"/>
        <w:rPr>
          <w:rFonts w:ascii="Calibri" w:eastAsia="Times New Roman" w:hAnsi="Calibri" w:cs="Calibri"/>
        </w:rPr>
      </w:pPr>
      <w:r w:rsidRPr="0009459B">
        <w:rPr>
          <w:rFonts w:ascii="Calibri" w:eastAsia="Times New Roman" w:hAnsi="Calibri" w:cs="Calibri"/>
        </w:rPr>
        <w:t xml:space="preserve">Base year (2024) data were obtained from Table S1903 for each city and county in Virginia.  A total of  </w:t>
      </w:r>
      <w:r w:rsidR="008D5915" w:rsidRPr="0009459B">
        <w:rPr>
          <w:rFonts w:ascii="Calibri" w:eastAsia="Times New Roman" w:hAnsi="Calibri" w:cs="Calibri"/>
        </w:rPr>
        <w:t xml:space="preserve">ten </w:t>
      </w:r>
      <w:r w:rsidRPr="0009459B">
        <w:rPr>
          <w:rFonts w:ascii="Calibri" w:eastAsia="Times New Roman" w:hAnsi="Calibri" w:cs="Calibri"/>
        </w:rPr>
        <w:t xml:space="preserve">attributes from that table were used.  One </w:t>
      </w:r>
      <w:r w:rsidR="008D5915" w:rsidRPr="0009459B">
        <w:rPr>
          <w:rFonts w:ascii="Calibri" w:eastAsia="Times New Roman" w:hAnsi="Calibri" w:cs="Calibri"/>
        </w:rPr>
        <w:t xml:space="preserve">attribute </w:t>
      </w:r>
      <w:r w:rsidRPr="0009459B">
        <w:rPr>
          <w:rFonts w:ascii="Calibri" w:eastAsia="Times New Roman" w:hAnsi="Calibri" w:cs="Calibri"/>
        </w:rPr>
        <w:t>gave the median income per household (</w:t>
      </w:r>
      <w:r w:rsidR="008D5915" w:rsidRPr="0009459B">
        <w:rPr>
          <w:rFonts w:ascii="Calibri" w:eastAsia="Times New Roman" w:hAnsi="Calibri" w:cs="Calibri"/>
        </w:rPr>
        <w:t>C03_001</w:t>
      </w:r>
      <w:r w:rsidRPr="0009459B">
        <w:rPr>
          <w:rFonts w:ascii="Calibri" w:eastAsia="Times New Roman" w:hAnsi="Calibri" w:cs="Calibri"/>
        </w:rPr>
        <w:t>)</w:t>
      </w:r>
      <w:r w:rsidR="008D5915" w:rsidRPr="0009459B">
        <w:rPr>
          <w:rFonts w:ascii="Calibri" w:eastAsia="Times New Roman" w:hAnsi="Calibri" w:cs="Calibri"/>
        </w:rPr>
        <w:t>.  The remaining 9 attributes were used to estimate the household size, where hous</w:t>
      </w:r>
      <w:r w:rsidR="00A80D3F">
        <w:rPr>
          <w:rFonts w:ascii="Calibri" w:eastAsia="Times New Roman" w:hAnsi="Calibri" w:cs="Calibri"/>
        </w:rPr>
        <w:t>e</w:t>
      </w:r>
      <w:r w:rsidR="008D5915" w:rsidRPr="0009459B">
        <w:rPr>
          <w:rFonts w:ascii="Calibri" w:eastAsia="Times New Roman" w:hAnsi="Calibri" w:cs="Calibri"/>
        </w:rPr>
        <w:t>holds are defined as family or non-family households.  Six attributes</w:t>
      </w:r>
      <w:r w:rsidRPr="0009459B">
        <w:rPr>
          <w:rFonts w:ascii="Calibri" w:eastAsia="Times New Roman" w:hAnsi="Calibri" w:cs="Calibri"/>
        </w:rPr>
        <w:t xml:space="preserve"> gave the number of 2, 3, 4, 5, 6, and 7 person families</w:t>
      </w:r>
      <w:r w:rsidR="008D5915" w:rsidRPr="0009459B">
        <w:rPr>
          <w:rFonts w:ascii="Calibri" w:eastAsia="Times New Roman" w:hAnsi="Calibri" w:cs="Calibri"/>
        </w:rPr>
        <w:t xml:space="preserve"> (C01_024, C01_025, C01_026, C01_027, C01_028, C01_029), one attribute gave the number of non-family households (C01_034), and two attributes gave the number of female and male non-family households with just one person, respectively (C01_036 and C01_039).  These were used to estimate the average household size with two assumptions:  a value of 7 rather than 7+ was used for attribute C01_029, and a value of 2 was used for nonfamily households that do not consist of a single individual living alone.</w:t>
      </w:r>
      <w:r w:rsidR="0040193D" w:rsidRPr="0009459B">
        <w:rPr>
          <w:rFonts w:ascii="Calibri" w:eastAsia="Times New Roman" w:hAnsi="Calibri" w:cs="Calibri"/>
        </w:rPr>
        <w:t xml:space="preserve">  For example, as shown in Table 1, </w:t>
      </w:r>
      <w:r w:rsidR="0040193D" w:rsidRPr="0009459B">
        <w:rPr>
          <w:rFonts w:ascii="Calibri" w:eastAsia="Times New Roman" w:hAnsi="Calibri" w:cs="Calibri"/>
        </w:rPr>
        <w:lastRenderedPageBreak/>
        <w:t>calculations for Accomack County suggest an estimated household size of 2.15 persons.  Thus, the median household income for Accomack County ($58,993) divided by this average household size (2.15) yields a per-capita income for persons living in households (HHIncomePC.2024) in year 2024 dollars of $27,436.</w:t>
      </w:r>
    </w:p>
    <w:p w14:paraId="3259FD97" w14:textId="77777777" w:rsidR="0009459B" w:rsidRPr="0009459B" w:rsidRDefault="0009459B" w:rsidP="0009459B">
      <w:pPr>
        <w:spacing w:after="0" w:line="240" w:lineRule="auto"/>
        <w:ind w:firstLine="720"/>
        <w:rPr>
          <w:rFonts w:ascii="Calibri" w:eastAsia="Times New Roman" w:hAnsi="Calibri" w:cs="Calibri"/>
        </w:rPr>
      </w:pPr>
    </w:p>
    <w:p w14:paraId="77CA31B0" w14:textId="41624FD7" w:rsidR="0009459B" w:rsidRPr="0009459B" w:rsidRDefault="0040193D" w:rsidP="0009459B">
      <w:pPr>
        <w:spacing w:after="0" w:line="240" w:lineRule="auto"/>
        <w:rPr>
          <w:rFonts w:ascii="Calibri" w:eastAsia="Times New Roman" w:hAnsi="Calibri" w:cs="Calibri"/>
        </w:rPr>
      </w:pPr>
      <w:r w:rsidRPr="0009459B">
        <w:rPr>
          <w:rFonts w:ascii="Calibri" w:eastAsia="Times New Roman" w:hAnsi="Calibri" w:cs="Calibri"/>
        </w:rPr>
        <w:t>Table 1.  Estimation of Average Household Size for Accomack County</w:t>
      </w:r>
    </w:p>
    <w:tbl>
      <w:tblPr>
        <w:tblW w:w="10434" w:type="dxa"/>
        <w:tblLook w:val="04A0" w:firstRow="1" w:lastRow="0" w:firstColumn="1" w:lastColumn="0" w:noHBand="0" w:noVBand="1"/>
      </w:tblPr>
      <w:tblGrid>
        <w:gridCol w:w="1906"/>
        <w:gridCol w:w="5640"/>
        <w:gridCol w:w="1018"/>
        <w:gridCol w:w="1196"/>
        <w:gridCol w:w="985"/>
      </w:tblGrid>
      <w:tr w:rsidR="0040193D" w:rsidRPr="0009459B" w14:paraId="0DF9B2BE" w14:textId="77777777" w:rsidTr="0054747F">
        <w:trPr>
          <w:trHeight w:val="300"/>
        </w:trPr>
        <w:tc>
          <w:tcPr>
            <w:tcW w:w="1769" w:type="dxa"/>
            <w:tcBorders>
              <w:top w:val="single" w:sz="4" w:space="0" w:color="auto"/>
              <w:left w:val="single" w:sz="4" w:space="0" w:color="auto"/>
              <w:bottom w:val="single" w:sz="4" w:space="0" w:color="auto"/>
              <w:right w:val="single" w:sz="4" w:space="0" w:color="auto"/>
            </w:tcBorders>
            <w:noWrap/>
            <w:vAlign w:val="bottom"/>
            <w:hideMark/>
          </w:tcPr>
          <w:p w14:paraId="33A188C8"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Attribute</w:t>
            </w:r>
          </w:p>
        </w:tc>
        <w:tc>
          <w:tcPr>
            <w:tcW w:w="5640" w:type="dxa"/>
            <w:tcBorders>
              <w:top w:val="single" w:sz="4" w:space="0" w:color="auto"/>
              <w:left w:val="nil"/>
              <w:bottom w:val="single" w:sz="4" w:space="0" w:color="auto"/>
              <w:right w:val="single" w:sz="4" w:space="0" w:color="auto"/>
            </w:tcBorders>
            <w:noWrap/>
            <w:vAlign w:val="bottom"/>
            <w:hideMark/>
          </w:tcPr>
          <w:p w14:paraId="57092B22"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Description</w:t>
            </w:r>
          </w:p>
        </w:tc>
        <w:tc>
          <w:tcPr>
            <w:tcW w:w="960" w:type="dxa"/>
            <w:tcBorders>
              <w:top w:val="single" w:sz="4" w:space="0" w:color="auto"/>
              <w:left w:val="nil"/>
              <w:bottom w:val="single" w:sz="4" w:space="0" w:color="auto"/>
              <w:right w:val="single" w:sz="4" w:space="0" w:color="auto"/>
            </w:tcBorders>
            <w:noWrap/>
            <w:vAlign w:val="bottom"/>
            <w:hideMark/>
          </w:tcPr>
          <w:p w14:paraId="15C8A653"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Number</w:t>
            </w:r>
          </w:p>
        </w:tc>
        <w:tc>
          <w:tcPr>
            <w:tcW w:w="1105" w:type="dxa"/>
            <w:tcBorders>
              <w:top w:val="single" w:sz="4" w:space="0" w:color="auto"/>
              <w:left w:val="nil"/>
              <w:bottom w:val="single" w:sz="4" w:space="0" w:color="auto"/>
              <w:right w:val="single" w:sz="4" w:space="0" w:color="auto"/>
            </w:tcBorders>
            <w:noWrap/>
            <w:vAlign w:val="bottom"/>
            <w:hideMark/>
          </w:tcPr>
          <w:p w14:paraId="4DA17201"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Estimated size</w:t>
            </w:r>
          </w:p>
        </w:tc>
        <w:tc>
          <w:tcPr>
            <w:tcW w:w="960" w:type="dxa"/>
            <w:tcBorders>
              <w:top w:val="single" w:sz="4" w:space="0" w:color="auto"/>
              <w:left w:val="nil"/>
              <w:bottom w:val="single" w:sz="4" w:space="0" w:color="auto"/>
              <w:right w:val="single" w:sz="4" w:space="0" w:color="auto"/>
            </w:tcBorders>
            <w:noWrap/>
            <w:vAlign w:val="bottom"/>
            <w:hideMark/>
          </w:tcPr>
          <w:p w14:paraId="459F5E83"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Product</w:t>
            </w:r>
          </w:p>
        </w:tc>
      </w:tr>
      <w:tr w:rsidR="0040193D" w:rsidRPr="0009459B" w14:paraId="723C8FAA"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3F4ACCC2"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S1903_C01_024E</w:t>
            </w:r>
          </w:p>
        </w:tc>
        <w:tc>
          <w:tcPr>
            <w:tcW w:w="5640" w:type="dxa"/>
            <w:tcBorders>
              <w:top w:val="nil"/>
              <w:left w:val="nil"/>
              <w:bottom w:val="single" w:sz="4" w:space="0" w:color="auto"/>
              <w:right w:val="single" w:sz="4" w:space="0" w:color="auto"/>
            </w:tcBorders>
            <w:noWrap/>
            <w:vAlign w:val="bottom"/>
            <w:hideMark/>
          </w:tcPr>
          <w:p w14:paraId="339E0EFC"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2-person families</w:t>
            </w:r>
          </w:p>
        </w:tc>
        <w:tc>
          <w:tcPr>
            <w:tcW w:w="960" w:type="dxa"/>
            <w:tcBorders>
              <w:top w:val="nil"/>
              <w:left w:val="nil"/>
              <w:bottom w:val="single" w:sz="4" w:space="0" w:color="auto"/>
              <w:right w:val="single" w:sz="4" w:space="0" w:color="auto"/>
            </w:tcBorders>
            <w:noWrap/>
            <w:vAlign w:val="bottom"/>
            <w:hideMark/>
          </w:tcPr>
          <w:p w14:paraId="51B1B196"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5437</w:t>
            </w:r>
          </w:p>
        </w:tc>
        <w:tc>
          <w:tcPr>
            <w:tcW w:w="1105" w:type="dxa"/>
            <w:tcBorders>
              <w:top w:val="nil"/>
              <w:left w:val="nil"/>
              <w:bottom w:val="single" w:sz="4" w:space="0" w:color="auto"/>
              <w:right w:val="single" w:sz="4" w:space="0" w:color="auto"/>
            </w:tcBorders>
            <w:noWrap/>
            <w:vAlign w:val="bottom"/>
            <w:hideMark/>
          </w:tcPr>
          <w:p w14:paraId="28F6B1BE"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w:t>
            </w:r>
          </w:p>
        </w:tc>
        <w:tc>
          <w:tcPr>
            <w:tcW w:w="960" w:type="dxa"/>
            <w:tcBorders>
              <w:top w:val="nil"/>
              <w:left w:val="nil"/>
              <w:bottom w:val="single" w:sz="4" w:space="0" w:color="auto"/>
              <w:right w:val="single" w:sz="4" w:space="0" w:color="auto"/>
            </w:tcBorders>
            <w:noWrap/>
            <w:vAlign w:val="bottom"/>
            <w:hideMark/>
          </w:tcPr>
          <w:p w14:paraId="1B0D8F3B"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10874</w:t>
            </w:r>
          </w:p>
        </w:tc>
      </w:tr>
      <w:tr w:rsidR="0040193D" w:rsidRPr="0009459B" w14:paraId="08EC5FFA"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186066AB"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S1903_C01_025E</w:t>
            </w:r>
          </w:p>
        </w:tc>
        <w:tc>
          <w:tcPr>
            <w:tcW w:w="5640" w:type="dxa"/>
            <w:tcBorders>
              <w:top w:val="nil"/>
              <w:left w:val="nil"/>
              <w:bottom w:val="single" w:sz="4" w:space="0" w:color="auto"/>
              <w:right w:val="single" w:sz="4" w:space="0" w:color="auto"/>
            </w:tcBorders>
            <w:noWrap/>
            <w:vAlign w:val="bottom"/>
            <w:hideMark/>
          </w:tcPr>
          <w:p w14:paraId="454F75FA"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3-person families</w:t>
            </w:r>
          </w:p>
        </w:tc>
        <w:tc>
          <w:tcPr>
            <w:tcW w:w="960" w:type="dxa"/>
            <w:tcBorders>
              <w:top w:val="nil"/>
              <w:left w:val="nil"/>
              <w:bottom w:val="single" w:sz="4" w:space="0" w:color="auto"/>
              <w:right w:val="single" w:sz="4" w:space="0" w:color="auto"/>
            </w:tcBorders>
            <w:noWrap/>
            <w:vAlign w:val="bottom"/>
            <w:hideMark/>
          </w:tcPr>
          <w:p w14:paraId="146DD915"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1695</w:t>
            </w:r>
          </w:p>
        </w:tc>
        <w:tc>
          <w:tcPr>
            <w:tcW w:w="1105" w:type="dxa"/>
            <w:tcBorders>
              <w:top w:val="nil"/>
              <w:left w:val="nil"/>
              <w:bottom w:val="single" w:sz="4" w:space="0" w:color="auto"/>
              <w:right w:val="single" w:sz="4" w:space="0" w:color="auto"/>
            </w:tcBorders>
            <w:noWrap/>
            <w:vAlign w:val="bottom"/>
            <w:hideMark/>
          </w:tcPr>
          <w:p w14:paraId="552DA543"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3</w:t>
            </w:r>
          </w:p>
        </w:tc>
        <w:tc>
          <w:tcPr>
            <w:tcW w:w="960" w:type="dxa"/>
            <w:tcBorders>
              <w:top w:val="nil"/>
              <w:left w:val="nil"/>
              <w:bottom w:val="single" w:sz="4" w:space="0" w:color="auto"/>
              <w:right w:val="single" w:sz="4" w:space="0" w:color="auto"/>
            </w:tcBorders>
            <w:noWrap/>
            <w:vAlign w:val="bottom"/>
            <w:hideMark/>
          </w:tcPr>
          <w:p w14:paraId="5329E2BD"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5085</w:t>
            </w:r>
          </w:p>
        </w:tc>
      </w:tr>
      <w:tr w:rsidR="0040193D" w:rsidRPr="0009459B" w14:paraId="1F896F77"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6F2AC233"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S1903_C01_026E</w:t>
            </w:r>
          </w:p>
        </w:tc>
        <w:tc>
          <w:tcPr>
            <w:tcW w:w="5640" w:type="dxa"/>
            <w:tcBorders>
              <w:top w:val="nil"/>
              <w:left w:val="nil"/>
              <w:bottom w:val="single" w:sz="4" w:space="0" w:color="auto"/>
              <w:right w:val="single" w:sz="4" w:space="0" w:color="auto"/>
            </w:tcBorders>
            <w:noWrap/>
            <w:vAlign w:val="bottom"/>
            <w:hideMark/>
          </w:tcPr>
          <w:p w14:paraId="56690A33"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4-person families</w:t>
            </w:r>
          </w:p>
        </w:tc>
        <w:tc>
          <w:tcPr>
            <w:tcW w:w="960" w:type="dxa"/>
            <w:tcBorders>
              <w:top w:val="nil"/>
              <w:left w:val="nil"/>
              <w:bottom w:val="single" w:sz="4" w:space="0" w:color="auto"/>
              <w:right w:val="single" w:sz="4" w:space="0" w:color="auto"/>
            </w:tcBorders>
            <w:noWrap/>
            <w:vAlign w:val="bottom"/>
            <w:hideMark/>
          </w:tcPr>
          <w:p w14:paraId="16B9211E"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1113</w:t>
            </w:r>
          </w:p>
        </w:tc>
        <w:tc>
          <w:tcPr>
            <w:tcW w:w="1105" w:type="dxa"/>
            <w:tcBorders>
              <w:top w:val="nil"/>
              <w:left w:val="nil"/>
              <w:bottom w:val="single" w:sz="4" w:space="0" w:color="auto"/>
              <w:right w:val="single" w:sz="4" w:space="0" w:color="auto"/>
            </w:tcBorders>
            <w:noWrap/>
            <w:vAlign w:val="bottom"/>
            <w:hideMark/>
          </w:tcPr>
          <w:p w14:paraId="57384687"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4</w:t>
            </w:r>
          </w:p>
        </w:tc>
        <w:tc>
          <w:tcPr>
            <w:tcW w:w="960" w:type="dxa"/>
            <w:tcBorders>
              <w:top w:val="nil"/>
              <w:left w:val="nil"/>
              <w:bottom w:val="single" w:sz="4" w:space="0" w:color="auto"/>
              <w:right w:val="single" w:sz="4" w:space="0" w:color="auto"/>
            </w:tcBorders>
            <w:noWrap/>
            <w:vAlign w:val="bottom"/>
            <w:hideMark/>
          </w:tcPr>
          <w:p w14:paraId="24F67F96"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4452</w:t>
            </w:r>
          </w:p>
        </w:tc>
      </w:tr>
      <w:tr w:rsidR="0040193D" w:rsidRPr="0009459B" w14:paraId="30DAEF54"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7685F721"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S1903_C01_027E</w:t>
            </w:r>
          </w:p>
        </w:tc>
        <w:tc>
          <w:tcPr>
            <w:tcW w:w="5640" w:type="dxa"/>
            <w:tcBorders>
              <w:top w:val="nil"/>
              <w:left w:val="nil"/>
              <w:bottom w:val="single" w:sz="4" w:space="0" w:color="auto"/>
              <w:right w:val="single" w:sz="4" w:space="0" w:color="auto"/>
            </w:tcBorders>
            <w:noWrap/>
            <w:vAlign w:val="bottom"/>
            <w:hideMark/>
          </w:tcPr>
          <w:p w14:paraId="0C669119"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5-person families</w:t>
            </w:r>
          </w:p>
        </w:tc>
        <w:tc>
          <w:tcPr>
            <w:tcW w:w="960" w:type="dxa"/>
            <w:tcBorders>
              <w:top w:val="nil"/>
              <w:left w:val="nil"/>
              <w:bottom w:val="single" w:sz="4" w:space="0" w:color="auto"/>
              <w:right w:val="single" w:sz="4" w:space="0" w:color="auto"/>
            </w:tcBorders>
            <w:noWrap/>
            <w:vAlign w:val="bottom"/>
            <w:hideMark/>
          </w:tcPr>
          <w:p w14:paraId="55D912F8"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723</w:t>
            </w:r>
          </w:p>
        </w:tc>
        <w:tc>
          <w:tcPr>
            <w:tcW w:w="1105" w:type="dxa"/>
            <w:tcBorders>
              <w:top w:val="nil"/>
              <w:left w:val="nil"/>
              <w:bottom w:val="single" w:sz="4" w:space="0" w:color="auto"/>
              <w:right w:val="single" w:sz="4" w:space="0" w:color="auto"/>
            </w:tcBorders>
            <w:noWrap/>
            <w:vAlign w:val="bottom"/>
            <w:hideMark/>
          </w:tcPr>
          <w:p w14:paraId="03B9985A"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5</w:t>
            </w:r>
          </w:p>
        </w:tc>
        <w:tc>
          <w:tcPr>
            <w:tcW w:w="960" w:type="dxa"/>
            <w:tcBorders>
              <w:top w:val="nil"/>
              <w:left w:val="nil"/>
              <w:bottom w:val="single" w:sz="4" w:space="0" w:color="auto"/>
              <w:right w:val="single" w:sz="4" w:space="0" w:color="auto"/>
            </w:tcBorders>
            <w:noWrap/>
            <w:vAlign w:val="bottom"/>
            <w:hideMark/>
          </w:tcPr>
          <w:p w14:paraId="02166986"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3615</w:t>
            </w:r>
          </w:p>
        </w:tc>
      </w:tr>
      <w:tr w:rsidR="0040193D" w:rsidRPr="0009459B" w14:paraId="4BE8BBEA"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5A1C4574"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S1903_C01_028E</w:t>
            </w:r>
          </w:p>
        </w:tc>
        <w:tc>
          <w:tcPr>
            <w:tcW w:w="5640" w:type="dxa"/>
            <w:tcBorders>
              <w:top w:val="nil"/>
              <w:left w:val="nil"/>
              <w:bottom w:val="single" w:sz="4" w:space="0" w:color="auto"/>
              <w:right w:val="single" w:sz="4" w:space="0" w:color="auto"/>
            </w:tcBorders>
            <w:noWrap/>
            <w:vAlign w:val="bottom"/>
            <w:hideMark/>
          </w:tcPr>
          <w:p w14:paraId="09A15F1E"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6-person families</w:t>
            </w:r>
          </w:p>
        </w:tc>
        <w:tc>
          <w:tcPr>
            <w:tcW w:w="960" w:type="dxa"/>
            <w:tcBorders>
              <w:top w:val="nil"/>
              <w:left w:val="nil"/>
              <w:bottom w:val="single" w:sz="4" w:space="0" w:color="auto"/>
              <w:right w:val="single" w:sz="4" w:space="0" w:color="auto"/>
            </w:tcBorders>
            <w:noWrap/>
            <w:vAlign w:val="bottom"/>
            <w:hideMark/>
          </w:tcPr>
          <w:p w14:paraId="0ECAAB90"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214</w:t>
            </w:r>
          </w:p>
        </w:tc>
        <w:tc>
          <w:tcPr>
            <w:tcW w:w="1105" w:type="dxa"/>
            <w:tcBorders>
              <w:top w:val="nil"/>
              <w:left w:val="nil"/>
              <w:bottom w:val="single" w:sz="4" w:space="0" w:color="auto"/>
              <w:right w:val="single" w:sz="4" w:space="0" w:color="auto"/>
            </w:tcBorders>
            <w:noWrap/>
            <w:vAlign w:val="bottom"/>
            <w:hideMark/>
          </w:tcPr>
          <w:p w14:paraId="1024667E"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6</w:t>
            </w:r>
          </w:p>
        </w:tc>
        <w:tc>
          <w:tcPr>
            <w:tcW w:w="960" w:type="dxa"/>
            <w:tcBorders>
              <w:top w:val="nil"/>
              <w:left w:val="nil"/>
              <w:bottom w:val="single" w:sz="4" w:space="0" w:color="auto"/>
              <w:right w:val="single" w:sz="4" w:space="0" w:color="auto"/>
            </w:tcBorders>
            <w:noWrap/>
            <w:vAlign w:val="bottom"/>
            <w:hideMark/>
          </w:tcPr>
          <w:p w14:paraId="5F7CA592"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1284</w:t>
            </w:r>
          </w:p>
        </w:tc>
      </w:tr>
      <w:tr w:rsidR="0040193D" w:rsidRPr="0009459B" w14:paraId="1C704246"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3A7DCCBC"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S1903_C01_029E</w:t>
            </w:r>
          </w:p>
        </w:tc>
        <w:tc>
          <w:tcPr>
            <w:tcW w:w="5640" w:type="dxa"/>
            <w:tcBorders>
              <w:top w:val="nil"/>
              <w:left w:val="nil"/>
              <w:bottom w:val="single" w:sz="4" w:space="0" w:color="auto"/>
              <w:right w:val="single" w:sz="4" w:space="0" w:color="auto"/>
            </w:tcBorders>
            <w:noWrap/>
            <w:vAlign w:val="bottom"/>
            <w:hideMark/>
          </w:tcPr>
          <w:p w14:paraId="07242224"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7-or-more person families</w:t>
            </w:r>
          </w:p>
        </w:tc>
        <w:tc>
          <w:tcPr>
            <w:tcW w:w="960" w:type="dxa"/>
            <w:tcBorders>
              <w:top w:val="nil"/>
              <w:left w:val="nil"/>
              <w:bottom w:val="single" w:sz="4" w:space="0" w:color="auto"/>
              <w:right w:val="single" w:sz="4" w:space="0" w:color="auto"/>
            </w:tcBorders>
            <w:noWrap/>
            <w:vAlign w:val="bottom"/>
            <w:hideMark/>
          </w:tcPr>
          <w:p w14:paraId="103E6A64"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23</w:t>
            </w:r>
          </w:p>
        </w:tc>
        <w:tc>
          <w:tcPr>
            <w:tcW w:w="1105" w:type="dxa"/>
            <w:tcBorders>
              <w:top w:val="nil"/>
              <w:left w:val="nil"/>
              <w:bottom w:val="single" w:sz="4" w:space="0" w:color="auto"/>
              <w:right w:val="single" w:sz="4" w:space="0" w:color="auto"/>
            </w:tcBorders>
            <w:noWrap/>
            <w:vAlign w:val="bottom"/>
            <w:hideMark/>
          </w:tcPr>
          <w:p w14:paraId="4584315B"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7</w:t>
            </w:r>
          </w:p>
        </w:tc>
        <w:tc>
          <w:tcPr>
            <w:tcW w:w="960" w:type="dxa"/>
            <w:tcBorders>
              <w:top w:val="nil"/>
              <w:left w:val="nil"/>
              <w:bottom w:val="single" w:sz="4" w:space="0" w:color="auto"/>
              <w:right w:val="single" w:sz="4" w:space="0" w:color="auto"/>
            </w:tcBorders>
            <w:noWrap/>
            <w:vAlign w:val="bottom"/>
            <w:hideMark/>
          </w:tcPr>
          <w:p w14:paraId="7B663E48"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161</w:t>
            </w:r>
          </w:p>
        </w:tc>
      </w:tr>
      <w:tr w:rsidR="0040193D" w:rsidRPr="0009459B" w14:paraId="290AC71A"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19AB437C"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S1903_C01_034E</w:t>
            </w:r>
          </w:p>
        </w:tc>
        <w:tc>
          <w:tcPr>
            <w:tcW w:w="5640" w:type="dxa"/>
            <w:tcBorders>
              <w:top w:val="nil"/>
              <w:left w:val="nil"/>
              <w:bottom w:val="single" w:sz="4" w:space="0" w:color="auto"/>
              <w:right w:val="single" w:sz="4" w:space="0" w:color="auto"/>
            </w:tcBorders>
            <w:noWrap/>
            <w:vAlign w:val="bottom"/>
            <w:hideMark/>
          </w:tcPr>
          <w:p w14:paraId="5A48AD88"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Nonfamily households</w:t>
            </w:r>
          </w:p>
        </w:tc>
        <w:tc>
          <w:tcPr>
            <w:tcW w:w="960" w:type="dxa"/>
            <w:tcBorders>
              <w:top w:val="nil"/>
              <w:left w:val="nil"/>
              <w:bottom w:val="single" w:sz="4" w:space="0" w:color="auto"/>
              <w:right w:val="single" w:sz="4" w:space="0" w:color="auto"/>
            </w:tcBorders>
            <w:noWrap/>
            <w:vAlign w:val="bottom"/>
            <w:hideMark/>
          </w:tcPr>
          <w:p w14:paraId="3136312B" w14:textId="77777777" w:rsidR="0040193D" w:rsidRPr="0009459B" w:rsidRDefault="0040193D" w:rsidP="0009459B">
            <w:pPr>
              <w:spacing w:after="0" w:line="240" w:lineRule="auto"/>
              <w:jc w:val="right"/>
              <w:rPr>
                <w:rFonts w:ascii="Calibri" w:eastAsia="Times New Roman" w:hAnsi="Calibri" w:cs="Calibri"/>
                <w:b/>
                <w:bCs/>
                <w:color w:val="000000"/>
                <w:lang w:eastAsia="en-US"/>
              </w:rPr>
            </w:pPr>
            <w:r w:rsidRPr="0009459B">
              <w:rPr>
                <w:rFonts w:ascii="Calibri" w:eastAsia="Times New Roman" w:hAnsi="Calibri" w:cs="Calibri"/>
                <w:b/>
                <w:bCs/>
                <w:color w:val="000000"/>
                <w:lang w:eastAsia="en-US"/>
              </w:rPr>
              <w:t>5241</w:t>
            </w:r>
          </w:p>
        </w:tc>
        <w:tc>
          <w:tcPr>
            <w:tcW w:w="1105" w:type="dxa"/>
            <w:tcBorders>
              <w:top w:val="nil"/>
              <w:left w:val="nil"/>
              <w:bottom w:val="single" w:sz="4" w:space="0" w:color="auto"/>
              <w:right w:val="single" w:sz="4" w:space="0" w:color="auto"/>
            </w:tcBorders>
            <w:noWrap/>
            <w:vAlign w:val="bottom"/>
            <w:hideMark/>
          </w:tcPr>
          <w:p w14:paraId="070914A4"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 </w:t>
            </w:r>
          </w:p>
        </w:tc>
        <w:tc>
          <w:tcPr>
            <w:tcW w:w="960" w:type="dxa"/>
            <w:tcBorders>
              <w:top w:val="nil"/>
              <w:left w:val="nil"/>
              <w:bottom w:val="single" w:sz="4" w:space="0" w:color="auto"/>
              <w:right w:val="single" w:sz="4" w:space="0" w:color="auto"/>
            </w:tcBorders>
            <w:noWrap/>
            <w:vAlign w:val="bottom"/>
            <w:hideMark/>
          </w:tcPr>
          <w:p w14:paraId="02699F24"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 </w:t>
            </w:r>
          </w:p>
        </w:tc>
      </w:tr>
      <w:tr w:rsidR="0040193D" w:rsidRPr="0009459B" w14:paraId="6ACD353A"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1D84EB92"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S1903_C01_036E</w:t>
            </w:r>
          </w:p>
        </w:tc>
        <w:tc>
          <w:tcPr>
            <w:tcW w:w="5640" w:type="dxa"/>
            <w:tcBorders>
              <w:top w:val="nil"/>
              <w:left w:val="nil"/>
              <w:bottom w:val="single" w:sz="4" w:space="0" w:color="auto"/>
              <w:right w:val="single" w:sz="4" w:space="0" w:color="auto"/>
            </w:tcBorders>
            <w:noWrap/>
            <w:vAlign w:val="bottom"/>
            <w:hideMark/>
          </w:tcPr>
          <w:p w14:paraId="0F4DF039"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Nonfamily households!!Female householder!!Living alone</w:t>
            </w:r>
          </w:p>
        </w:tc>
        <w:tc>
          <w:tcPr>
            <w:tcW w:w="960" w:type="dxa"/>
            <w:tcBorders>
              <w:top w:val="nil"/>
              <w:left w:val="nil"/>
              <w:bottom w:val="single" w:sz="4" w:space="0" w:color="auto"/>
              <w:right w:val="single" w:sz="4" w:space="0" w:color="auto"/>
            </w:tcBorders>
            <w:noWrap/>
            <w:vAlign w:val="bottom"/>
            <w:hideMark/>
          </w:tcPr>
          <w:p w14:paraId="3C056651"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2757</w:t>
            </w:r>
          </w:p>
        </w:tc>
        <w:tc>
          <w:tcPr>
            <w:tcW w:w="1105" w:type="dxa"/>
            <w:tcBorders>
              <w:top w:val="nil"/>
              <w:left w:val="nil"/>
              <w:bottom w:val="single" w:sz="4" w:space="0" w:color="auto"/>
              <w:right w:val="single" w:sz="4" w:space="0" w:color="auto"/>
            </w:tcBorders>
            <w:noWrap/>
            <w:vAlign w:val="bottom"/>
            <w:hideMark/>
          </w:tcPr>
          <w:p w14:paraId="36330054"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w:t>
            </w:r>
          </w:p>
        </w:tc>
        <w:tc>
          <w:tcPr>
            <w:tcW w:w="960" w:type="dxa"/>
            <w:tcBorders>
              <w:top w:val="nil"/>
              <w:left w:val="nil"/>
              <w:bottom w:val="single" w:sz="4" w:space="0" w:color="auto"/>
              <w:right w:val="single" w:sz="4" w:space="0" w:color="auto"/>
            </w:tcBorders>
            <w:noWrap/>
            <w:vAlign w:val="bottom"/>
            <w:hideMark/>
          </w:tcPr>
          <w:p w14:paraId="5DA05441"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2757</w:t>
            </w:r>
          </w:p>
        </w:tc>
      </w:tr>
      <w:tr w:rsidR="0040193D" w:rsidRPr="0009459B" w14:paraId="6490DA71"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5D7FD653"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S1903_C01_039E</w:t>
            </w:r>
          </w:p>
        </w:tc>
        <w:tc>
          <w:tcPr>
            <w:tcW w:w="5640" w:type="dxa"/>
            <w:tcBorders>
              <w:top w:val="nil"/>
              <w:left w:val="nil"/>
              <w:bottom w:val="single" w:sz="4" w:space="0" w:color="auto"/>
              <w:right w:val="single" w:sz="4" w:space="0" w:color="auto"/>
            </w:tcBorders>
            <w:noWrap/>
            <w:vAlign w:val="bottom"/>
            <w:hideMark/>
          </w:tcPr>
          <w:p w14:paraId="0C4E097E"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Nonfamily households!!Male householder!!Living alone</w:t>
            </w:r>
          </w:p>
        </w:tc>
        <w:tc>
          <w:tcPr>
            <w:tcW w:w="960" w:type="dxa"/>
            <w:tcBorders>
              <w:top w:val="nil"/>
              <w:left w:val="nil"/>
              <w:bottom w:val="single" w:sz="4" w:space="0" w:color="auto"/>
              <w:right w:val="single" w:sz="4" w:space="0" w:color="auto"/>
            </w:tcBorders>
            <w:noWrap/>
            <w:vAlign w:val="bottom"/>
            <w:hideMark/>
          </w:tcPr>
          <w:p w14:paraId="28CEEA5C"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2134</w:t>
            </w:r>
          </w:p>
        </w:tc>
        <w:tc>
          <w:tcPr>
            <w:tcW w:w="1105" w:type="dxa"/>
            <w:tcBorders>
              <w:top w:val="nil"/>
              <w:left w:val="nil"/>
              <w:bottom w:val="single" w:sz="4" w:space="0" w:color="auto"/>
              <w:right w:val="single" w:sz="4" w:space="0" w:color="auto"/>
            </w:tcBorders>
            <w:noWrap/>
            <w:vAlign w:val="bottom"/>
            <w:hideMark/>
          </w:tcPr>
          <w:p w14:paraId="25019F1E"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w:t>
            </w:r>
          </w:p>
        </w:tc>
        <w:tc>
          <w:tcPr>
            <w:tcW w:w="960" w:type="dxa"/>
            <w:tcBorders>
              <w:top w:val="nil"/>
              <w:left w:val="nil"/>
              <w:bottom w:val="single" w:sz="4" w:space="0" w:color="auto"/>
              <w:right w:val="single" w:sz="4" w:space="0" w:color="auto"/>
            </w:tcBorders>
            <w:noWrap/>
            <w:vAlign w:val="bottom"/>
            <w:hideMark/>
          </w:tcPr>
          <w:p w14:paraId="4A42179E"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2134</w:t>
            </w:r>
          </w:p>
        </w:tc>
      </w:tr>
      <w:tr w:rsidR="0040193D" w:rsidRPr="0009459B" w14:paraId="5B108015"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24191D49"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Derived</w:t>
            </w:r>
          </w:p>
        </w:tc>
        <w:tc>
          <w:tcPr>
            <w:tcW w:w="5640" w:type="dxa"/>
            <w:tcBorders>
              <w:top w:val="nil"/>
              <w:left w:val="nil"/>
              <w:bottom w:val="single" w:sz="4" w:space="0" w:color="auto"/>
              <w:right w:val="single" w:sz="4" w:space="0" w:color="auto"/>
            </w:tcBorders>
            <w:noWrap/>
            <w:vAlign w:val="bottom"/>
            <w:hideMark/>
          </w:tcPr>
          <w:p w14:paraId="72853323"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Nonfamily households not living alone</w:t>
            </w:r>
          </w:p>
        </w:tc>
        <w:tc>
          <w:tcPr>
            <w:tcW w:w="960" w:type="dxa"/>
            <w:tcBorders>
              <w:top w:val="nil"/>
              <w:left w:val="nil"/>
              <w:bottom w:val="single" w:sz="4" w:space="0" w:color="auto"/>
              <w:right w:val="single" w:sz="4" w:space="0" w:color="auto"/>
            </w:tcBorders>
            <w:noWrap/>
            <w:vAlign w:val="bottom"/>
            <w:hideMark/>
          </w:tcPr>
          <w:p w14:paraId="7B07B9B3"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350</w:t>
            </w:r>
          </w:p>
        </w:tc>
        <w:tc>
          <w:tcPr>
            <w:tcW w:w="1105" w:type="dxa"/>
            <w:tcBorders>
              <w:top w:val="nil"/>
              <w:left w:val="nil"/>
              <w:bottom w:val="single" w:sz="4" w:space="0" w:color="auto"/>
              <w:right w:val="single" w:sz="4" w:space="0" w:color="auto"/>
            </w:tcBorders>
            <w:noWrap/>
            <w:vAlign w:val="bottom"/>
            <w:hideMark/>
          </w:tcPr>
          <w:p w14:paraId="726C0F1F"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w:t>
            </w:r>
          </w:p>
        </w:tc>
        <w:tc>
          <w:tcPr>
            <w:tcW w:w="960" w:type="dxa"/>
            <w:tcBorders>
              <w:top w:val="nil"/>
              <w:left w:val="nil"/>
              <w:bottom w:val="single" w:sz="4" w:space="0" w:color="auto"/>
              <w:right w:val="single" w:sz="4" w:space="0" w:color="auto"/>
            </w:tcBorders>
            <w:noWrap/>
            <w:vAlign w:val="bottom"/>
            <w:hideMark/>
          </w:tcPr>
          <w:p w14:paraId="368D0549"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700</w:t>
            </w:r>
          </w:p>
        </w:tc>
      </w:tr>
      <w:tr w:rsidR="0040193D" w:rsidRPr="0009459B" w14:paraId="176A3462"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230E992C"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Derived</w:t>
            </w:r>
          </w:p>
        </w:tc>
        <w:tc>
          <w:tcPr>
            <w:tcW w:w="5640" w:type="dxa"/>
            <w:tcBorders>
              <w:top w:val="nil"/>
              <w:left w:val="nil"/>
              <w:bottom w:val="single" w:sz="4" w:space="0" w:color="auto"/>
              <w:right w:val="single" w:sz="4" w:space="0" w:color="auto"/>
            </w:tcBorders>
            <w:noWrap/>
            <w:vAlign w:val="bottom"/>
            <w:hideMark/>
          </w:tcPr>
          <w:p w14:paraId="0216E3E9"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Total</w:t>
            </w:r>
          </w:p>
        </w:tc>
        <w:tc>
          <w:tcPr>
            <w:tcW w:w="960" w:type="dxa"/>
            <w:tcBorders>
              <w:top w:val="nil"/>
              <w:left w:val="nil"/>
              <w:bottom w:val="single" w:sz="4" w:space="0" w:color="auto"/>
              <w:right w:val="single" w:sz="4" w:space="0" w:color="auto"/>
            </w:tcBorders>
            <w:noWrap/>
            <w:vAlign w:val="bottom"/>
            <w:hideMark/>
          </w:tcPr>
          <w:p w14:paraId="43321A97"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14446</w:t>
            </w:r>
          </w:p>
        </w:tc>
        <w:tc>
          <w:tcPr>
            <w:tcW w:w="1105" w:type="dxa"/>
            <w:tcBorders>
              <w:top w:val="nil"/>
              <w:left w:val="nil"/>
              <w:bottom w:val="single" w:sz="4" w:space="0" w:color="auto"/>
              <w:right w:val="single" w:sz="4" w:space="0" w:color="auto"/>
            </w:tcBorders>
            <w:noWrap/>
            <w:vAlign w:val="bottom"/>
            <w:hideMark/>
          </w:tcPr>
          <w:p w14:paraId="7432EE7E"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 </w:t>
            </w:r>
          </w:p>
        </w:tc>
        <w:tc>
          <w:tcPr>
            <w:tcW w:w="960" w:type="dxa"/>
            <w:tcBorders>
              <w:top w:val="nil"/>
              <w:left w:val="nil"/>
              <w:bottom w:val="single" w:sz="4" w:space="0" w:color="auto"/>
              <w:right w:val="single" w:sz="4" w:space="0" w:color="auto"/>
            </w:tcBorders>
            <w:noWrap/>
            <w:vAlign w:val="bottom"/>
            <w:hideMark/>
          </w:tcPr>
          <w:p w14:paraId="60F44E3C" w14:textId="77777777"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31062</w:t>
            </w:r>
          </w:p>
        </w:tc>
      </w:tr>
      <w:tr w:rsidR="0040193D" w:rsidRPr="0009459B" w14:paraId="19407B11" w14:textId="77777777" w:rsidTr="0054747F">
        <w:trPr>
          <w:trHeight w:val="300"/>
        </w:trPr>
        <w:tc>
          <w:tcPr>
            <w:tcW w:w="1769" w:type="dxa"/>
            <w:tcBorders>
              <w:top w:val="nil"/>
              <w:left w:val="single" w:sz="4" w:space="0" w:color="auto"/>
              <w:bottom w:val="single" w:sz="4" w:space="0" w:color="auto"/>
              <w:right w:val="single" w:sz="4" w:space="0" w:color="auto"/>
            </w:tcBorders>
            <w:noWrap/>
            <w:vAlign w:val="bottom"/>
            <w:hideMark/>
          </w:tcPr>
          <w:p w14:paraId="60684C3F"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Derived</w:t>
            </w:r>
          </w:p>
        </w:tc>
        <w:tc>
          <w:tcPr>
            <w:tcW w:w="5640" w:type="dxa"/>
            <w:tcBorders>
              <w:top w:val="nil"/>
              <w:left w:val="nil"/>
              <w:bottom w:val="single" w:sz="4" w:space="0" w:color="auto"/>
              <w:right w:val="single" w:sz="4" w:space="0" w:color="auto"/>
            </w:tcBorders>
            <w:noWrap/>
            <w:vAlign w:val="bottom"/>
            <w:hideMark/>
          </w:tcPr>
          <w:p w14:paraId="1C41F304"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Average household size</w:t>
            </w:r>
          </w:p>
        </w:tc>
        <w:tc>
          <w:tcPr>
            <w:tcW w:w="960" w:type="dxa"/>
            <w:tcBorders>
              <w:top w:val="nil"/>
              <w:left w:val="nil"/>
              <w:bottom w:val="single" w:sz="4" w:space="0" w:color="auto"/>
              <w:right w:val="single" w:sz="4" w:space="0" w:color="auto"/>
            </w:tcBorders>
            <w:noWrap/>
            <w:vAlign w:val="bottom"/>
            <w:hideMark/>
          </w:tcPr>
          <w:p w14:paraId="2914AA09"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 </w:t>
            </w:r>
          </w:p>
        </w:tc>
        <w:tc>
          <w:tcPr>
            <w:tcW w:w="1105" w:type="dxa"/>
            <w:tcBorders>
              <w:top w:val="nil"/>
              <w:left w:val="nil"/>
              <w:bottom w:val="single" w:sz="4" w:space="0" w:color="auto"/>
              <w:right w:val="single" w:sz="4" w:space="0" w:color="auto"/>
            </w:tcBorders>
            <w:noWrap/>
            <w:vAlign w:val="bottom"/>
            <w:hideMark/>
          </w:tcPr>
          <w:p w14:paraId="18CBDCFC" w14:textId="77777777" w:rsidR="0040193D" w:rsidRPr="0009459B" w:rsidRDefault="0040193D" w:rsidP="0009459B">
            <w:pPr>
              <w:spacing w:after="0" w:line="240" w:lineRule="auto"/>
              <w:rPr>
                <w:rFonts w:ascii="Calibri" w:eastAsia="Times New Roman" w:hAnsi="Calibri" w:cs="Calibri"/>
                <w:color w:val="000000"/>
                <w:lang w:eastAsia="en-US"/>
              </w:rPr>
            </w:pPr>
            <w:r w:rsidRPr="0009459B">
              <w:rPr>
                <w:rFonts w:ascii="Calibri" w:eastAsia="Times New Roman" w:hAnsi="Calibri" w:cs="Calibri"/>
                <w:color w:val="000000"/>
                <w:lang w:eastAsia="en-US"/>
              </w:rPr>
              <w:t> </w:t>
            </w:r>
          </w:p>
        </w:tc>
        <w:tc>
          <w:tcPr>
            <w:tcW w:w="960" w:type="dxa"/>
            <w:tcBorders>
              <w:top w:val="nil"/>
              <w:left w:val="nil"/>
              <w:bottom w:val="single" w:sz="4" w:space="0" w:color="auto"/>
              <w:right w:val="single" w:sz="4" w:space="0" w:color="auto"/>
            </w:tcBorders>
            <w:noWrap/>
            <w:vAlign w:val="bottom"/>
            <w:hideMark/>
          </w:tcPr>
          <w:p w14:paraId="5FE96E7C" w14:textId="20F975C3" w:rsidR="0040193D" w:rsidRPr="0009459B" w:rsidRDefault="0040193D" w:rsidP="0009459B">
            <w:pPr>
              <w:spacing w:after="0" w:line="240" w:lineRule="auto"/>
              <w:jc w:val="right"/>
              <w:rPr>
                <w:rFonts w:ascii="Calibri" w:eastAsia="Times New Roman" w:hAnsi="Calibri" w:cs="Calibri"/>
                <w:color w:val="000000"/>
                <w:lang w:eastAsia="en-US"/>
              </w:rPr>
            </w:pPr>
            <w:r w:rsidRPr="0009459B">
              <w:rPr>
                <w:rFonts w:ascii="Calibri" w:eastAsia="Times New Roman" w:hAnsi="Calibri" w:cs="Calibri"/>
                <w:color w:val="000000"/>
                <w:lang w:eastAsia="en-US"/>
              </w:rPr>
              <w:t>2.15</w:t>
            </w:r>
          </w:p>
        </w:tc>
      </w:tr>
    </w:tbl>
    <w:p w14:paraId="375A4A1B" w14:textId="77777777" w:rsidR="001A7B3B" w:rsidRPr="0009459B" w:rsidRDefault="001A7B3B" w:rsidP="0009459B">
      <w:pPr>
        <w:spacing w:after="0" w:line="240" w:lineRule="auto"/>
        <w:rPr>
          <w:rFonts w:ascii="Calibri" w:hAnsi="Calibri" w:cs="Calibri"/>
        </w:rPr>
      </w:pPr>
    </w:p>
    <w:p w14:paraId="19982679" w14:textId="21D550DA" w:rsidR="001A7B3B" w:rsidRPr="0009459B" w:rsidRDefault="001A7B3B" w:rsidP="0009459B">
      <w:pPr>
        <w:spacing w:after="0" w:line="240" w:lineRule="auto"/>
        <w:ind w:firstLine="720"/>
        <w:rPr>
          <w:rFonts w:ascii="Calibri" w:hAnsi="Calibri" w:cs="Calibri"/>
        </w:rPr>
      </w:pPr>
      <w:r w:rsidRPr="0009459B">
        <w:rPr>
          <w:rFonts w:ascii="Calibri" w:hAnsi="Calibri" w:cs="Calibri"/>
        </w:rPr>
        <w:t>Group quarters population was based on Census Table S2601A which provides information for the entire state of Virginia—not by Azone, where the attribute used was noninstitutionalized group quarters population (e.g., dormitories, military barracks but not jails nor skilled nursing facilities).  Thus the same value was used for all Azones for 2024 which was $11,542.</w:t>
      </w:r>
    </w:p>
    <w:p w14:paraId="537A9C91" w14:textId="77777777" w:rsidR="001A7B3B" w:rsidRPr="0009459B" w:rsidRDefault="001A7B3B" w:rsidP="0009459B">
      <w:pPr>
        <w:spacing w:after="0" w:line="240" w:lineRule="auto"/>
        <w:rPr>
          <w:rFonts w:ascii="Calibri" w:hAnsi="Calibri" w:cs="Calibri"/>
        </w:rPr>
      </w:pPr>
    </w:p>
    <w:p w14:paraId="45CD287D" w14:textId="0E157F42" w:rsidR="001A7B3B" w:rsidRPr="0009459B" w:rsidRDefault="001A7B3B" w:rsidP="0009459B">
      <w:pPr>
        <w:spacing w:after="0" w:line="240" w:lineRule="auto"/>
        <w:rPr>
          <w:rFonts w:ascii="Calibri" w:hAnsi="Calibri" w:cs="Calibri"/>
          <w:i/>
          <w:iCs/>
        </w:rPr>
      </w:pPr>
      <w:r w:rsidRPr="0009459B">
        <w:rPr>
          <w:rFonts w:ascii="Calibri" w:hAnsi="Calibri" w:cs="Calibri"/>
          <w:i/>
          <w:iCs/>
        </w:rPr>
        <w:t>Forecast Year</w:t>
      </w:r>
    </w:p>
    <w:p w14:paraId="7AFD6B80" w14:textId="77777777" w:rsidR="001A7B3B" w:rsidRPr="0009459B" w:rsidRDefault="001A7B3B" w:rsidP="0009459B">
      <w:pPr>
        <w:spacing w:after="0" w:line="240" w:lineRule="auto"/>
        <w:ind w:firstLine="720"/>
        <w:rPr>
          <w:rFonts w:ascii="Calibri" w:hAnsi="Calibri" w:cs="Calibri"/>
        </w:rPr>
      </w:pPr>
    </w:p>
    <w:p w14:paraId="74618FF9" w14:textId="1EB8DE80" w:rsidR="0054747F" w:rsidRPr="0009459B" w:rsidRDefault="001A7B3B" w:rsidP="0009459B">
      <w:pPr>
        <w:spacing w:after="0" w:line="240" w:lineRule="auto"/>
        <w:ind w:firstLine="720"/>
        <w:rPr>
          <w:rFonts w:ascii="Calibri" w:hAnsi="Calibri" w:cs="Calibri"/>
        </w:rPr>
      </w:pPr>
      <w:r w:rsidRPr="0009459B">
        <w:rPr>
          <w:rFonts w:ascii="Calibri" w:hAnsi="Calibri" w:cs="Calibri"/>
        </w:rPr>
        <w:t>For per-capita incomes of persons who live in households, the</w:t>
      </w:r>
      <w:r w:rsidR="0054747F" w:rsidRPr="0009459B">
        <w:rPr>
          <w:rFonts w:ascii="Calibri" w:hAnsi="Calibri" w:cs="Calibri"/>
        </w:rPr>
        <w:t xml:space="preserve"> 2045 income was forecast by multiplying the 2024 income by the ratio of 2024 and 2045 </w:t>
      </w:r>
      <w:r w:rsidR="003579C1" w:rsidRPr="0009459B">
        <w:rPr>
          <w:rFonts w:ascii="Calibri" w:hAnsi="Calibri" w:cs="Calibri"/>
        </w:rPr>
        <w:t xml:space="preserve">per-capita </w:t>
      </w:r>
      <w:r w:rsidR="0054747F" w:rsidRPr="0009459B">
        <w:rPr>
          <w:rFonts w:ascii="Calibri" w:hAnsi="Calibri" w:cs="Calibri"/>
        </w:rPr>
        <w:t>incomes available from Woods &amp; Poole (2024)</w:t>
      </w:r>
      <w:r w:rsidR="003579C1" w:rsidRPr="0009459B">
        <w:rPr>
          <w:rFonts w:ascii="Calibri" w:hAnsi="Calibri" w:cs="Calibri"/>
        </w:rPr>
        <w:t>.  The manner in which Woods &amp; Poole defines income may differ from that of the the U.S. Census Bureau, and thus the rate of change is used.  For example, Woods &amp; Poole (2024) forecasts that in year 2024 dollars, Accomack’s per-capita income will increase from $45,408 to $65,058 and thus a 43% increase is applied to the 2024 value from the U.S. Census Bureau ($27,246) to obtain a 2045 forecast value of $65,058.</w:t>
      </w:r>
    </w:p>
    <w:p w14:paraId="5DDD2F81" w14:textId="77777777" w:rsidR="0054747F" w:rsidRPr="0009459B" w:rsidRDefault="0054747F" w:rsidP="0009459B">
      <w:pPr>
        <w:spacing w:after="0" w:line="240" w:lineRule="auto"/>
        <w:ind w:firstLine="360"/>
        <w:rPr>
          <w:rFonts w:ascii="Calibri" w:hAnsi="Calibri" w:cs="Calibri"/>
        </w:rPr>
      </w:pPr>
    </w:p>
    <w:p w14:paraId="09743F02" w14:textId="5260EB0B" w:rsidR="0054747F" w:rsidRPr="0009459B" w:rsidRDefault="00A80D3F" w:rsidP="0009459B">
      <w:pPr>
        <w:spacing w:after="0" w:line="240" w:lineRule="auto"/>
        <w:rPr>
          <w:rFonts w:ascii="Calibri" w:hAnsi="Calibri" w:cs="Calibri"/>
          <w:iCs/>
          <w:sz w:val="20"/>
          <w:szCs w:val="20"/>
        </w:rPr>
      </w:pPr>
      <m:oMathPara>
        <m:oMath>
          <m:f>
            <m:fPr>
              <m:ctrlPr>
                <w:rPr>
                  <w:rFonts w:ascii="Cambria Math" w:hAnsi="Cambria Math" w:cs="Calibri"/>
                  <w:iCs/>
                  <w:sz w:val="20"/>
                  <w:szCs w:val="20"/>
                </w:rPr>
              </m:ctrlPr>
            </m:fPr>
            <m:num>
              <m:r>
                <m:rPr>
                  <m:sty m:val="p"/>
                </m:rPr>
                <w:rPr>
                  <w:rFonts w:ascii="Cambria Math" w:hAnsi="Cambria Math" w:cs="Calibri"/>
                  <w:sz w:val="20"/>
                  <w:szCs w:val="20"/>
                </w:rPr>
                <m:t>2045 Woods &amp; Poole per capita income</m:t>
              </m:r>
            </m:num>
            <m:den>
              <m:r>
                <m:rPr>
                  <m:sty m:val="p"/>
                </m:rPr>
                <w:rPr>
                  <w:rFonts w:ascii="Cambria Math" w:hAnsi="Cambria Math" w:cs="Calibri"/>
                  <w:sz w:val="20"/>
                  <w:szCs w:val="20"/>
                </w:rPr>
                <m:t>2024 Woods &amp; Poole per capita income</m:t>
              </m:r>
            </m:den>
          </m:f>
          <m:d>
            <m:dPr>
              <m:ctrlPr>
                <w:rPr>
                  <w:rFonts w:ascii="Cambria Math" w:hAnsi="Cambria Math" w:cs="Calibri"/>
                  <w:iCs/>
                  <w:sz w:val="20"/>
                  <w:szCs w:val="20"/>
                </w:rPr>
              </m:ctrlPr>
            </m:dPr>
            <m:e>
              <m:r>
                <m:rPr>
                  <m:sty m:val="p"/>
                </m:rPr>
                <w:rPr>
                  <w:rFonts w:ascii="Cambria Math" w:hAnsi="Cambria Math" w:cs="Calibri"/>
                  <w:sz w:val="20"/>
                  <w:szCs w:val="20"/>
                </w:rPr>
                <m:t xml:space="preserve">2024 value of </m:t>
              </m:r>
              <m:r>
                <m:rPr>
                  <m:sty m:val="p"/>
                </m:rPr>
                <w:rPr>
                  <w:rFonts w:ascii="Cambria Math" w:eastAsia="Times New Roman" w:hAnsi="Cambria Math" w:cs="Calibri"/>
                  <w:sz w:val="20"/>
                  <w:szCs w:val="20"/>
                </w:rPr>
                <m:t>HHIncomePC.2024</m:t>
              </m:r>
            </m:e>
          </m:d>
          <m:r>
            <m:rPr>
              <m:sty m:val="p"/>
            </m:rPr>
            <w:rPr>
              <w:rFonts w:ascii="Cambria Math" w:hAnsi="Cambria Math" w:cs="Calibri"/>
              <w:sz w:val="20"/>
              <w:szCs w:val="20"/>
            </w:rPr>
            <m:t xml:space="preserve">=2045 value of </m:t>
          </m:r>
          <m:r>
            <m:rPr>
              <m:sty m:val="p"/>
            </m:rPr>
            <w:rPr>
              <w:rFonts w:ascii="Cambria Math" w:eastAsia="Times New Roman" w:hAnsi="Cambria Math" w:cs="Calibri"/>
              <w:sz w:val="20"/>
              <w:szCs w:val="20"/>
            </w:rPr>
            <m:t>HHIncomePC.2024</m:t>
          </m:r>
        </m:oMath>
      </m:oMathPara>
    </w:p>
    <w:p w14:paraId="4BA1ECB8" w14:textId="77777777" w:rsidR="0054747F" w:rsidRPr="0009459B" w:rsidRDefault="0054747F" w:rsidP="0009459B">
      <w:pPr>
        <w:spacing w:after="0" w:line="240" w:lineRule="auto"/>
        <w:rPr>
          <w:rFonts w:ascii="Calibri" w:hAnsi="Calibri" w:cs="Calibri"/>
        </w:rPr>
      </w:pPr>
    </w:p>
    <w:p w14:paraId="0B3744EF" w14:textId="15A346B1" w:rsidR="0064715D" w:rsidRPr="0009459B" w:rsidRDefault="0064715D" w:rsidP="0009459B">
      <w:pPr>
        <w:pStyle w:val="PlainText"/>
        <w:rPr>
          <w:rFonts w:ascii="Calibri" w:hAnsi="Calibri" w:cs="Calibri"/>
          <w:sz w:val="24"/>
          <w:szCs w:val="24"/>
        </w:rPr>
      </w:pPr>
      <w:r w:rsidRPr="0009459B">
        <w:rPr>
          <w:rFonts w:ascii="Calibri" w:hAnsi="Calibri" w:cs="Calibri"/>
          <w:sz w:val="24"/>
          <w:szCs w:val="24"/>
        </w:rPr>
        <w:tab/>
      </w:r>
      <w:r w:rsidR="001A7B3B" w:rsidRPr="0009459B">
        <w:rPr>
          <w:rFonts w:ascii="Calibri" w:hAnsi="Calibri" w:cs="Calibri"/>
          <w:sz w:val="24"/>
          <w:szCs w:val="24"/>
        </w:rPr>
        <w:t>For per-capita incomes of persons who live in group quarters, the 2024 value of $11,542 was increased by an average (by jurisdiction) increase of 34.6% to yield a 2045 value of $15,536.</w:t>
      </w:r>
    </w:p>
    <w:p w14:paraId="06339BCC" w14:textId="77777777" w:rsidR="0064715D" w:rsidRPr="0009459B" w:rsidRDefault="0064715D" w:rsidP="0009459B">
      <w:pPr>
        <w:pStyle w:val="PlainText"/>
        <w:rPr>
          <w:rFonts w:ascii="Calibri" w:hAnsi="Calibri" w:cs="Calibri"/>
          <w:b/>
          <w:bCs/>
          <w:sz w:val="24"/>
          <w:szCs w:val="24"/>
        </w:rPr>
      </w:pPr>
    </w:p>
    <w:p w14:paraId="7D17A894" w14:textId="625C3394" w:rsidR="0054747F" w:rsidRPr="0009459B" w:rsidRDefault="0054747F" w:rsidP="0009459B">
      <w:pPr>
        <w:pStyle w:val="PlainText"/>
        <w:rPr>
          <w:rFonts w:ascii="Calibri" w:hAnsi="Calibri" w:cs="Calibri"/>
          <w:b/>
          <w:bCs/>
          <w:sz w:val="24"/>
          <w:szCs w:val="24"/>
        </w:rPr>
      </w:pPr>
      <w:r w:rsidRPr="0009459B">
        <w:rPr>
          <w:rFonts w:ascii="Calibri" w:hAnsi="Calibri" w:cs="Calibri"/>
          <w:b/>
          <w:bCs/>
          <w:sz w:val="24"/>
          <w:szCs w:val="24"/>
        </w:rPr>
        <w:t>Reference</w:t>
      </w:r>
    </w:p>
    <w:p w14:paraId="0FAB1E12" w14:textId="77777777" w:rsidR="0054747F" w:rsidRPr="0009459B" w:rsidRDefault="0054747F" w:rsidP="0009459B">
      <w:pPr>
        <w:pStyle w:val="PlainText"/>
        <w:rPr>
          <w:rFonts w:ascii="Calibri" w:hAnsi="Calibri" w:cs="Calibri"/>
          <w:sz w:val="24"/>
          <w:szCs w:val="24"/>
        </w:rPr>
      </w:pPr>
    </w:p>
    <w:p w14:paraId="32AD4606" w14:textId="77777777" w:rsidR="0054747F" w:rsidRPr="0009459B" w:rsidRDefault="0054747F" w:rsidP="0009459B">
      <w:pPr>
        <w:pStyle w:val="PlainText"/>
        <w:rPr>
          <w:rFonts w:ascii="Calibri" w:hAnsi="Calibri" w:cs="Calibri"/>
          <w:sz w:val="24"/>
          <w:szCs w:val="24"/>
        </w:rPr>
      </w:pPr>
      <w:r w:rsidRPr="0009459B">
        <w:rPr>
          <w:rFonts w:ascii="Calibri" w:hAnsi="Calibri" w:cs="Calibri"/>
          <w:sz w:val="24"/>
          <w:szCs w:val="24"/>
        </w:rPr>
        <w:lastRenderedPageBreak/>
        <w:t>Woods &amp; Poole, Inc. Technical Description of the Woods &amp; Poole Economics, Inc. 2024 Regional Projections and Database, Washington, D.C., 2024.</w:t>
      </w:r>
    </w:p>
    <w:p w14:paraId="0AE71781" w14:textId="6ECE5C01" w:rsidR="515D732C" w:rsidRPr="0009459B" w:rsidRDefault="00D1157E" w:rsidP="0009459B">
      <w:pPr>
        <w:spacing w:after="0" w:line="240" w:lineRule="auto"/>
        <w:rPr>
          <w:rFonts w:ascii="Calibri" w:eastAsia="Times New Roman" w:hAnsi="Calibri" w:cs="Calibri"/>
          <w:b/>
          <w:bCs/>
        </w:rPr>
      </w:pP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r w:rsidRPr="0009459B">
        <w:rPr>
          <w:rFonts w:ascii="Calibri" w:eastAsia="Times New Roman" w:hAnsi="Calibri" w:cs="Calibri"/>
        </w:rPr>
        <w:tab/>
      </w:r>
    </w:p>
    <w:p w14:paraId="315B69F6" w14:textId="513BC900" w:rsidR="6BAC13A6" w:rsidRPr="0009459B" w:rsidRDefault="6BAC13A6" w:rsidP="0009459B">
      <w:pPr>
        <w:spacing w:after="0" w:line="240" w:lineRule="auto"/>
        <w:rPr>
          <w:rFonts w:ascii="Calibri" w:eastAsia="Times New Roman" w:hAnsi="Calibri" w:cs="Calibri"/>
        </w:rPr>
      </w:pPr>
    </w:p>
    <w:sectPr w:rsidR="6BAC13A6" w:rsidRPr="0009459B" w:rsidSect="005500F5">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7DD2" w14:textId="77777777" w:rsidR="001F3AC8" w:rsidRDefault="001F3AC8" w:rsidP="00A04379">
      <w:pPr>
        <w:spacing w:after="0" w:line="240" w:lineRule="auto"/>
      </w:pPr>
      <w:r>
        <w:separator/>
      </w:r>
    </w:p>
  </w:endnote>
  <w:endnote w:type="continuationSeparator" w:id="0">
    <w:p w14:paraId="30B59BD8" w14:textId="77777777" w:rsidR="001F3AC8" w:rsidRDefault="001F3AC8" w:rsidP="00A0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584844"/>
      <w:docPartObj>
        <w:docPartGallery w:val="Page Numbers (Bottom of Page)"/>
        <w:docPartUnique/>
      </w:docPartObj>
    </w:sdtPr>
    <w:sdtEndPr>
      <w:rPr>
        <w:noProof/>
      </w:rPr>
    </w:sdtEndPr>
    <w:sdtContent>
      <w:p w14:paraId="657620DB" w14:textId="431681C7" w:rsidR="0009459B" w:rsidRDefault="000945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551A9" w14:textId="77777777" w:rsidR="0009459B" w:rsidRDefault="00094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B9103" w14:textId="77777777" w:rsidR="001F3AC8" w:rsidRDefault="001F3AC8" w:rsidP="00A04379">
      <w:pPr>
        <w:spacing w:after="0" w:line="240" w:lineRule="auto"/>
      </w:pPr>
      <w:r>
        <w:separator/>
      </w:r>
    </w:p>
  </w:footnote>
  <w:footnote w:type="continuationSeparator" w:id="0">
    <w:p w14:paraId="6271652D" w14:textId="77777777" w:rsidR="001F3AC8" w:rsidRDefault="001F3AC8" w:rsidP="00A04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9BC0"/>
    <w:multiLevelType w:val="hybridMultilevel"/>
    <w:tmpl w:val="4B16F760"/>
    <w:lvl w:ilvl="0" w:tplc="A8C0762E">
      <w:start w:val="1"/>
      <w:numFmt w:val="bullet"/>
      <w:lvlText w:val=""/>
      <w:lvlJc w:val="left"/>
      <w:pPr>
        <w:ind w:left="720" w:hanging="360"/>
      </w:pPr>
      <w:rPr>
        <w:rFonts w:ascii="Symbol" w:hAnsi="Symbol" w:hint="default"/>
      </w:rPr>
    </w:lvl>
    <w:lvl w:ilvl="1" w:tplc="3D32F8CE">
      <w:start w:val="1"/>
      <w:numFmt w:val="bullet"/>
      <w:lvlText w:val="o"/>
      <w:lvlJc w:val="left"/>
      <w:pPr>
        <w:ind w:left="1440" w:hanging="360"/>
      </w:pPr>
      <w:rPr>
        <w:rFonts w:ascii="Courier New" w:hAnsi="Courier New" w:hint="default"/>
      </w:rPr>
    </w:lvl>
    <w:lvl w:ilvl="2" w:tplc="9E92D722">
      <w:start w:val="1"/>
      <w:numFmt w:val="bullet"/>
      <w:lvlText w:val=""/>
      <w:lvlJc w:val="left"/>
      <w:pPr>
        <w:ind w:left="2160" w:hanging="360"/>
      </w:pPr>
      <w:rPr>
        <w:rFonts w:ascii="Wingdings" w:hAnsi="Wingdings" w:hint="default"/>
      </w:rPr>
    </w:lvl>
    <w:lvl w:ilvl="3" w:tplc="AB8A6D92">
      <w:start w:val="1"/>
      <w:numFmt w:val="bullet"/>
      <w:lvlText w:val=""/>
      <w:lvlJc w:val="left"/>
      <w:pPr>
        <w:ind w:left="2880" w:hanging="360"/>
      </w:pPr>
      <w:rPr>
        <w:rFonts w:ascii="Symbol" w:hAnsi="Symbol" w:hint="default"/>
      </w:rPr>
    </w:lvl>
    <w:lvl w:ilvl="4" w:tplc="E2267256">
      <w:start w:val="1"/>
      <w:numFmt w:val="bullet"/>
      <w:lvlText w:val="o"/>
      <w:lvlJc w:val="left"/>
      <w:pPr>
        <w:ind w:left="3600" w:hanging="360"/>
      </w:pPr>
      <w:rPr>
        <w:rFonts w:ascii="Courier New" w:hAnsi="Courier New" w:hint="default"/>
      </w:rPr>
    </w:lvl>
    <w:lvl w:ilvl="5" w:tplc="D8B2B290">
      <w:start w:val="1"/>
      <w:numFmt w:val="bullet"/>
      <w:lvlText w:val=""/>
      <w:lvlJc w:val="left"/>
      <w:pPr>
        <w:ind w:left="4320" w:hanging="360"/>
      </w:pPr>
      <w:rPr>
        <w:rFonts w:ascii="Wingdings" w:hAnsi="Wingdings" w:hint="default"/>
      </w:rPr>
    </w:lvl>
    <w:lvl w:ilvl="6" w:tplc="B89AA5E2">
      <w:start w:val="1"/>
      <w:numFmt w:val="bullet"/>
      <w:lvlText w:val=""/>
      <w:lvlJc w:val="left"/>
      <w:pPr>
        <w:ind w:left="5040" w:hanging="360"/>
      </w:pPr>
      <w:rPr>
        <w:rFonts w:ascii="Symbol" w:hAnsi="Symbol" w:hint="default"/>
      </w:rPr>
    </w:lvl>
    <w:lvl w:ilvl="7" w:tplc="37D663AA">
      <w:start w:val="1"/>
      <w:numFmt w:val="bullet"/>
      <w:lvlText w:val="o"/>
      <w:lvlJc w:val="left"/>
      <w:pPr>
        <w:ind w:left="5760" w:hanging="360"/>
      </w:pPr>
      <w:rPr>
        <w:rFonts w:ascii="Courier New" w:hAnsi="Courier New" w:hint="default"/>
      </w:rPr>
    </w:lvl>
    <w:lvl w:ilvl="8" w:tplc="EFA631D4">
      <w:start w:val="1"/>
      <w:numFmt w:val="bullet"/>
      <w:lvlText w:val=""/>
      <w:lvlJc w:val="left"/>
      <w:pPr>
        <w:ind w:left="6480" w:hanging="360"/>
      </w:pPr>
      <w:rPr>
        <w:rFonts w:ascii="Wingdings" w:hAnsi="Wingdings" w:hint="default"/>
      </w:rPr>
    </w:lvl>
  </w:abstractNum>
  <w:abstractNum w:abstractNumId="1" w15:restartNumberingAfterBreak="0">
    <w:nsid w:val="1231086A"/>
    <w:multiLevelType w:val="hybridMultilevel"/>
    <w:tmpl w:val="08D07836"/>
    <w:lvl w:ilvl="0" w:tplc="148EEE1C">
      <w:start w:val="1"/>
      <w:numFmt w:val="bullet"/>
      <w:lvlText w:val=""/>
      <w:lvlJc w:val="left"/>
      <w:pPr>
        <w:ind w:left="720" w:hanging="360"/>
      </w:pPr>
      <w:rPr>
        <w:rFonts w:ascii="Symbol" w:hAnsi="Symbol" w:hint="default"/>
      </w:rPr>
    </w:lvl>
    <w:lvl w:ilvl="1" w:tplc="496ABF9C">
      <w:start w:val="1"/>
      <w:numFmt w:val="bullet"/>
      <w:lvlText w:val="o"/>
      <w:lvlJc w:val="left"/>
      <w:pPr>
        <w:ind w:left="1440" w:hanging="360"/>
      </w:pPr>
      <w:rPr>
        <w:rFonts w:ascii="Courier New" w:hAnsi="Courier New" w:hint="default"/>
      </w:rPr>
    </w:lvl>
    <w:lvl w:ilvl="2" w:tplc="66F404B4">
      <w:start w:val="1"/>
      <w:numFmt w:val="bullet"/>
      <w:lvlText w:val=""/>
      <w:lvlJc w:val="left"/>
      <w:pPr>
        <w:ind w:left="2160" w:hanging="360"/>
      </w:pPr>
      <w:rPr>
        <w:rFonts w:ascii="Wingdings" w:hAnsi="Wingdings" w:hint="default"/>
      </w:rPr>
    </w:lvl>
    <w:lvl w:ilvl="3" w:tplc="C0364D82">
      <w:start w:val="1"/>
      <w:numFmt w:val="bullet"/>
      <w:lvlText w:val=""/>
      <w:lvlJc w:val="left"/>
      <w:pPr>
        <w:ind w:left="2880" w:hanging="360"/>
      </w:pPr>
      <w:rPr>
        <w:rFonts w:ascii="Symbol" w:hAnsi="Symbol" w:hint="default"/>
      </w:rPr>
    </w:lvl>
    <w:lvl w:ilvl="4" w:tplc="E73EBE86">
      <w:start w:val="1"/>
      <w:numFmt w:val="bullet"/>
      <w:lvlText w:val="o"/>
      <w:lvlJc w:val="left"/>
      <w:pPr>
        <w:ind w:left="3600" w:hanging="360"/>
      </w:pPr>
      <w:rPr>
        <w:rFonts w:ascii="Courier New" w:hAnsi="Courier New" w:hint="default"/>
      </w:rPr>
    </w:lvl>
    <w:lvl w:ilvl="5" w:tplc="96C8F004">
      <w:start w:val="1"/>
      <w:numFmt w:val="bullet"/>
      <w:lvlText w:val=""/>
      <w:lvlJc w:val="left"/>
      <w:pPr>
        <w:ind w:left="4320" w:hanging="360"/>
      </w:pPr>
      <w:rPr>
        <w:rFonts w:ascii="Wingdings" w:hAnsi="Wingdings" w:hint="default"/>
      </w:rPr>
    </w:lvl>
    <w:lvl w:ilvl="6" w:tplc="8092D00C">
      <w:start w:val="1"/>
      <w:numFmt w:val="bullet"/>
      <w:lvlText w:val=""/>
      <w:lvlJc w:val="left"/>
      <w:pPr>
        <w:ind w:left="5040" w:hanging="360"/>
      </w:pPr>
      <w:rPr>
        <w:rFonts w:ascii="Symbol" w:hAnsi="Symbol" w:hint="default"/>
      </w:rPr>
    </w:lvl>
    <w:lvl w:ilvl="7" w:tplc="0540CEBC">
      <w:start w:val="1"/>
      <w:numFmt w:val="bullet"/>
      <w:lvlText w:val="o"/>
      <w:lvlJc w:val="left"/>
      <w:pPr>
        <w:ind w:left="5760" w:hanging="360"/>
      </w:pPr>
      <w:rPr>
        <w:rFonts w:ascii="Courier New" w:hAnsi="Courier New" w:hint="default"/>
      </w:rPr>
    </w:lvl>
    <w:lvl w:ilvl="8" w:tplc="79A04FEC">
      <w:start w:val="1"/>
      <w:numFmt w:val="bullet"/>
      <w:lvlText w:val=""/>
      <w:lvlJc w:val="left"/>
      <w:pPr>
        <w:ind w:left="6480" w:hanging="360"/>
      </w:pPr>
      <w:rPr>
        <w:rFonts w:ascii="Wingdings" w:hAnsi="Wingdings" w:hint="default"/>
      </w:rPr>
    </w:lvl>
  </w:abstractNum>
  <w:abstractNum w:abstractNumId="2" w15:restartNumberingAfterBreak="0">
    <w:nsid w:val="1D1785BB"/>
    <w:multiLevelType w:val="hybridMultilevel"/>
    <w:tmpl w:val="E0C0C5EA"/>
    <w:lvl w:ilvl="0" w:tplc="45EE0710">
      <w:start w:val="1"/>
      <w:numFmt w:val="bullet"/>
      <w:lvlText w:val=""/>
      <w:lvlJc w:val="left"/>
      <w:pPr>
        <w:ind w:left="720" w:hanging="360"/>
      </w:pPr>
      <w:rPr>
        <w:rFonts w:ascii="Symbol" w:hAnsi="Symbol" w:hint="default"/>
      </w:rPr>
    </w:lvl>
    <w:lvl w:ilvl="1" w:tplc="521A382E">
      <w:start w:val="1"/>
      <w:numFmt w:val="bullet"/>
      <w:lvlText w:val="o"/>
      <w:lvlJc w:val="left"/>
      <w:pPr>
        <w:ind w:left="1440" w:hanging="360"/>
      </w:pPr>
      <w:rPr>
        <w:rFonts w:ascii="Courier New" w:hAnsi="Courier New" w:hint="default"/>
      </w:rPr>
    </w:lvl>
    <w:lvl w:ilvl="2" w:tplc="BBD44976">
      <w:start w:val="1"/>
      <w:numFmt w:val="bullet"/>
      <w:lvlText w:val=""/>
      <w:lvlJc w:val="left"/>
      <w:pPr>
        <w:ind w:left="2160" w:hanging="360"/>
      </w:pPr>
      <w:rPr>
        <w:rFonts w:ascii="Wingdings" w:hAnsi="Wingdings" w:hint="default"/>
      </w:rPr>
    </w:lvl>
    <w:lvl w:ilvl="3" w:tplc="955EDD9C">
      <w:start w:val="1"/>
      <w:numFmt w:val="bullet"/>
      <w:lvlText w:val=""/>
      <w:lvlJc w:val="left"/>
      <w:pPr>
        <w:ind w:left="2880" w:hanging="360"/>
      </w:pPr>
      <w:rPr>
        <w:rFonts w:ascii="Symbol" w:hAnsi="Symbol" w:hint="default"/>
      </w:rPr>
    </w:lvl>
    <w:lvl w:ilvl="4" w:tplc="3A648C22">
      <w:start w:val="1"/>
      <w:numFmt w:val="bullet"/>
      <w:lvlText w:val="o"/>
      <w:lvlJc w:val="left"/>
      <w:pPr>
        <w:ind w:left="3600" w:hanging="360"/>
      </w:pPr>
      <w:rPr>
        <w:rFonts w:ascii="Courier New" w:hAnsi="Courier New" w:hint="default"/>
      </w:rPr>
    </w:lvl>
    <w:lvl w:ilvl="5" w:tplc="71D45A5E">
      <w:start w:val="1"/>
      <w:numFmt w:val="bullet"/>
      <w:lvlText w:val=""/>
      <w:lvlJc w:val="left"/>
      <w:pPr>
        <w:ind w:left="4320" w:hanging="360"/>
      </w:pPr>
      <w:rPr>
        <w:rFonts w:ascii="Wingdings" w:hAnsi="Wingdings" w:hint="default"/>
      </w:rPr>
    </w:lvl>
    <w:lvl w:ilvl="6" w:tplc="46B286CE">
      <w:start w:val="1"/>
      <w:numFmt w:val="bullet"/>
      <w:lvlText w:val=""/>
      <w:lvlJc w:val="left"/>
      <w:pPr>
        <w:ind w:left="5040" w:hanging="360"/>
      </w:pPr>
      <w:rPr>
        <w:rFonts w:ascii="Symbol" w:hAnsi="Symbol" w:hint="default"/>
      </w:rPr>
    </w:lvl>
    <w:lvl w:ilvl="7" w:tplc="0580418E">
      <w:start w:val="1"/>
      <w:numFmt w:val="bullet"/>
      <w:lvlText w:val="o"/>
      <w:lvlJc w:val="left"/>
      <w:pPr>
        <w:ind w:left="5760" w:hanging="360"/>
      </w:pPr>
      <w:rPr>
        <w:rFonts w:ascii="Courier New" w:hAnsi="Courier New" w:hint="default"/>
      </w:rPr>
    </w:lvl>
    <w:lvl w:ilvl="8" w:tplc="79B81A2C">
      <w:start w:val="1"/>
      <w:numFmt w:val="bullet"/>
      <w:lvlText w:val=""/>
      <w:lvlJc w:val="left"/>
      <w:pPr>
        <w:ind w:left="6480" w:hanging="360"/>
      </w:pPr>
      <w:rPr>
        <w:rFonts w:ascii="Wingdings" w:hAnsi="Wingdings" w:hint="default"/>
      </w:rPr>
    </w:lvl>
  </w:abstractNum>
  <w:abstractNum w:abstractNumId="3" w15:restartNumberingAfterBreak="0">
    <w:nsid w:val="211E96D0"/>
    <w:multiLevelType w:val="hybridMultilevel"/>
    <w:tmpl w:val="A3DCD342"/>
    <w:lvl w:ilvl="0" w:tplc="39920DFE">
      <w:start w:val="1"/>
      <w:numFmt w:val="bullet"/>
      <w:lvlText w:val=""/>
      <w:lvlJc w:val="left"/>
      <w:pPr>
        <w:ind w:left="720" w:hanging="360"/>
      </w:pPr>
      <w:rPr>
        <w:rFonts w:ascii="Symbol" w:hAnsi="Symbol" w:hint="default"/>
      </w:rPr>
    </w:lvl>
    <w:lvl w:ilvl="1" w:tplc="24402400">
      <w:start w:val="1"/>
      <w:numFmt w:val="bullet"/>
      <w:lvlText w:val="o"/>
      <w:lvlJc w:val="left"/>
      <w:pPr>
        <w:ind w:left="1440" w:hanging="360"/>
      </w:pPr>
      <w:rPr>
        <w:rFonts w:ascii="Courier New" w:hAnsi="Courier New" w:hint="default"/>
      </w:rPr>
    </w:lvl>
    <w:lvl w:ilvl="2" w:tplc="73944E72">
      <w:start w:val="1"/>
      <w:numFmt w:val="bullet"/>
      <w:lvlText w:val=""/>
      <w:lvlJc w:val="left"/>
      <w:pPr>
        <w:ind w:left="2160" w:hanging="360"/>
      </w:pPr>
      <w:rPr>
        <w:rFonts w:ascii="Wingdings" w:hAnsi="Wingdings" w:hint="default"/>
      </w:rPr>
    </w:lvl>
    <w:lvl w:ilvl="3" w:tplc="BE8A25DC">
      <w:start w:val="1"/>
      <w:numFmt w:val="bullet"/>
      <w:lvlText w:val=""/>
      <w:lvlJc w:val="left"/>
      <w:pPr>
        <w:ind w:left="2880" w:hanging="360"/>
      </w:pPr>
      <w:rPr>
        <w:rFonts w:ascii="Symbol" w:hAnsi="Symbol" w:hint="default"/>
      </w:rPr>
    </w:lvl>
    <w:lvl w:ilvl="4" w:tplc="DE3AE4FC">
      <w:start w:val="1"/>
      <w:numFmt w:val="bullet"/>
      <w:lvlText w:val="o"/>
      <w:lvlJc w:val="left"/>
      <w:pPr>
        <w:ind w:left="3600" w:hanging="360"/>
      </w:pPr>
      <w:rPr>
        <w:rFonts w:ascii="Courier New" w:hAnsi="Courier New" w:hint="default"/>
      </w:rPr>
    </w:lvl>
    <w:lvl w:ilvl="5" w:tplc="50DA3C0A">
      <w:start w:val="1"/>
      <w:numFmt w:val="bullet"/>
      <w:lvlText w:val=""/>
      <w:lvlJc w:val="left"/>
      <w:pPr>
        <w:ind w:left="4320" w:hanging="360"/>
      </w:pPr>
      <w:rPr>
        <w:rFonts w:ascii="Wingdings" w:hAnsi="Wingdings" w:hint="default"/>
      </w:rPr>
    </w:lvl>
    <w:lvl w:ilvl="6" w:tplc="AD2E69D2">
      <w:start w:val="1"/>
      <w:numFmt w:val="bullet"/>
      <w:lvlText w:val=""/>
      <w:lvlJc w:val="left"/>
      <w:pPr>
        <w:ind w:left="5040" w:hanging="360"/>
      </w:pPr>
      <w:rPr>
        <w:rFonts w:ascii="Symbol" w:hAnsi="Symbol" w:hint="default"/>
      </w:rPr>
    </w:lvl>
    <w:lvl w:ilvl="7" w:tplc="128CD0A8">
      <w:start w:val="1"/>
      <w:numFmt w:val="bullet"/>
      <w:lvlText w:val="o"/>
      <w:lvlJc w:val="left"/>
      <w:pPr>
        <w:ind w:left="5760" w:hanging="360"/>
      </w:pPr>
      <w:rPr>
        <w:rFonts w:ascii="Courier New" w:hAnsi="Courier New" w:hint="default"/>
      </w:rPr>
    </w:lvl>
    <w:lvl w:ilvl="8" w:tplc="43F6A098">
      <w:start w:val="1"/>
      <w:numFmt w:val="bullet"/>
      <w:lvlText w:val=""/>
      <w:lvlJc w:val="left"/>
      <w:pPr>
        <w:ind w:left="6480" w:hanging="360"/>
      </w:pPr>
      <w:rPr>
        <w:rFonts w:ascii="Wingdings" w:hAnsi="Wingdings" w:hint="default"/>
      </w:rPr>
    </w:lvl>
  </w:abstractNum>
  <w:abstractNum w:abstractNumId="4" w15:restartNumberingAfterBreak="0">
    <w:nsid w:val="5A392845"/>
    <w:multiLevelType w:val="hybridMultilevel"/>
    <w:tmpl w:val="B058D5FC"/>
    <w:lvl w:ilvl="0" w:tplc="D33C521A">
      <w:start w:val="1"/>
      <w:numFmt w:val="bullet"/>
      <w:lvlText w:val=""/>
      <w:lvlJc w:val="left"/>
      <w:pPr>
        <w:ind w:left="720" w:hanging="360"/>
      </w:pPr>
      <w:rPr>
        <w:rFonts w:ascii="Symbol" w:hAnsi="Symbol" w:hint="default"/>
      </w:rPr>
    </w:lvl>
    <w:lvl w:ilvl="1" w:tplc="1AC8AE78">
      <w:start w:val="1"/>
      <w:numFmt w:val="bullet"/>
      <w:lvlText w:val="o"/>
      <w:lvlJc w:val="left"/>
      <w:pPr>
        <w:ind w:left="1440" w:hanging="360"/>
      </w:pPr>
      <w:rPr>
        <w:rFonts w:ascii="Courier New" w:hAnsi="Courier New" w:hint="default"/>
      </w:rPr>
    </w:lvl>
    <w:lvl w:ilvl="2" w:tplc="B4328CE0">
      <w:start w:val="1"/>
      <w:numFmt w:val="bullet"/>
      <w:lvlText w:val=""/>
      <w:lvlJc w:val="left"/>
      <w:pPr>
        <w:ind w:left="2160" w:hanging="360"/>
      </w:pPr>
      <w:rPr>
        <w:rFonts w:ascii="Wingdings" w:hAnsi="Wingdings" w:hint="default"/>
      </w:rPr>
    </w:lvl>
    <w:lvl w:ilvl="3" w:tplc="104C8CE8">
      <w:start w:val="1"/>
      <w:numFmt w:val="bullet"/>
      <w:lvlText w:val=""/>
      <w:lvlJc w:val="left"/>
      <w:pPr>
        <w:ind w:left="2880" w:hanging="360"/>
      </w:pPr>
      <w:rPr>
        <w:rFonts w:ascii="Symbol" w:hAnsi="Symbol" w:hint="default"/>
      </w:rPr>
    </w:lvl>
    <w:lvl w:ilvl="4" w:tplc="01240E96">
      <w:start w:val="1"/>
      <w:numFmt w:val="bullet"/>
      <w:lvlText w:val="o"/>
      <w:lvlJc w:val="left"/>
      <w:pPr>
        <w:ind w:left="3600" w:hanging="360"/>
      </w:pPr>
      <w:rPr>
        <w:rFonts w:ascii="Courier New" w:hAnsi="Courier New" w:hint="default"/>
      </w:rPr>
    </w:lvl>
    <w:lvl w:ilvl="5" w:tplc="F57E8486">
      <w:start w:val="1"/>
      <w:numFmt w:val="bullet"/>
      <w:lvlText w:val=""/>
      <w:lvlJc w:val="left"/>
      <w:pPr>
        <w:ind w:left="4320" w:hanging="360"/>
      </w:pPr>
      <w:rPr>
        <w:rFonts w:ascii="Wingdings" w:hAnsi="Wingdings" w:hint="default"/>
      </w:rPr>
    </w:lvl>
    <w:lvl w:ilvl="6" w:tplc="755830A2">
      <w:start w:val="1"/>
      <w:numFmt w:val="bullet"/>
      <w:lvlText w:val=""/>
      <w:lvlJc w:val="left"/>
      <w:pPr>
        <w:ind w:left="5040" w:hanging="360"/>
      </w:pPr>
      <w:rPr>
        <w:rFonts w:ascii="Symbol" w:hAnsi="Symbol" w:hint="default"/>
      </w:rPr>
    </w:lvl>
    <w:lvl w:ilvl="7" w:tplc="08528698">
      <w:start w:val="1"/>
      <w:numFmt w:val="bullet"/>
      <w:lvlText w:val="o"/>
      <w:lvlJc w:val="left"/>
      <w:pPr>
        <w:ind w:left="5760" w:hanging="360"/>
      </w:pPr>
      <w:rPr>
        <w:rFonts w:ascii="Courier New" w:hAnsi="Courier New" w:hint="default"/>
      </w:rPr>
    </w:lvl>
    <w:lvl w:ilvl="8" w:tplc="0C069708">
      <w:start w:val="1"/>
      <w:numFmt w:val="bullet"/>
      <w:lvlText w:val=""/>
      <w:lvlJc w:val="left"/>
      <w:pPr>
        <w:ind w:left="6480" w:hanging="360"/>
      </w:pPr>
      <w:rPr>
        <w:rFonts w:ascii="Wingdings" w:hAnsi="Wingdings" w:hint="default"/>
      </w:rPr>
    </w:lvl>
  </w:abstractNum>
  <w:abstractNum w:abstractNumId="5" w15:restartNumberingAfterBreak="0">
    <w:nsid w:val="6F598433"/>
    <w:multiLevelType w:val="hybridMultilevel"/>
    <w:tmpl w:val="42BC7EBE"/>
    <w:lvl w:ilvl="0" w:tplc="C1D2115C">
      <w:start w:val="1"/>
      <w:numFmt w:val="bullet"/>
      <w:lvlText w:val=""/>
      <w:lvlJc w:val="left"/>
      <w:pPr>
        <w:ind w:left="720" w:hanging="360"/>
      </w:pPr>
      <w:rPr>
        <w:rFonts w:ascii="Symbol" w:hAnsi="Symbol" w:hint="default"/>
      </w:rPr>
    </w:lvl>
    <w:lvl w:ilvl="1" w:tplc="7E7011F8">
      <w:start w:val="1"/>
      <w:numFmt w:val="bullet"/>
      <w:lvlText w:val="o"/>
      <w:lvlJc w:val="left"/>
      <w:pPr>
        <w:ind w:left="1440" w:hanging="360"/>
      </w:pPr>
      <w:rPr>
        <w:rFonts w:ascii="Courier New" w:hAnsi="Courier New" w:hint="default"/>
      </w:rPr>
    </w:lvl>
    <w:lvl w:ilvl="2" w:tplc="C22EF98C">
      <w:start w:val="1"/>
      <w:numFmt w:val="bullet"/>
      <w:lvlText w:val=""/>
      <w:lvlJc w:val="left"/>
      <w:pPr>
        <w:ind w:left="2160" w:hanging="360"/>
      </w:pPr>
      <w:rPr>
        <w:rFonts w:ascii="Wingdings" w:hAnsi="Wingdings" w:hint="default"/>
      </w:rPr>
    </w:lvl>
    <w:lvl w:ilvl="3" w:tplc="07824A82">
      <w:start w:val="1"/>
      <w:numFmt w:val="bullet"/>
      <w:lvlText w:val=""/>
      <w:lvlJc w:val="left"/>
      <w:pPr>
        <w:ind w:left="2880" w:hanging="360"/>
      </w:pPr>
      <w:rPr>
        <w:rFonts w:ascii="Symbol" w:hAnsi="Symbol" w:hint="default"/>
      </w:rPr>
    </w:lvl>
    <w:lvl w:ilvl="4" w:tplc="D7B48F02">
      <w:start w:val="1"/>
      <w:numFmt w:val="bullet"/>
      <w:lvlText w:val="o"/>
      <w:lvlJc w:val="left"/>
      <w:pPr>
        <w:ind w:left="3600" w:hanging="360"/>
      </w:pPr>
      <w:rPr>
        <w:rFonts w:ascii="Courier New" w:hAnsi="Courier New" w:hint="default"/>
      </w:rPr>
    </w:lvl>
    <w:lvl w:ilvl="5" w:tplc="D870F696">
      <w:start w:val="1"/>
      <w:numFmt w:val="bullet"/>
      <w:lvlText w:val=""/>
      <w:lvlJc w:val="left"/>
      <w:pPr>
        <w:ind w:left="4320" w:hanging="360"/>
      </w:pPr>
      <w:rPr>
        <w:rFonts w:ascii="Wingdings" w:hAnsi="Wingdings" w:hint="default"/>
      </w:rPr>
    </w:lvl>
    <w:lvl w:ilvl="6" w:tplc="5966F87C">
      <w:start w:val="1"/>
      <w:numFmt w:val="bullet"/>
      <w:lvlText w:val=""/>
      <w:lvlJc w:val="left"/>
      <w:pPr>
        <w:ind w:left="5040" w:hanging="360"/>
      </w:pPr>
      <w:rPr>
        <w:rFonts w:ascii="Symbol" w:hAnsi="Symbol" w:hint="default"/>
      </w:rPr>
    </w:lvl>
    <w:lvl w:ilvl="7" w:tplc="7432FC72">
      <w:start w:val="1"/>
      <w:numFmt w:val="bullet"/>
      <w:lvlText w:val="o"/>
      <w:lvlJc w:val="left"/>
      <w:pPr>
        <w:ind w:left="5760" w:hanging="360"/>
      </w:pPr>
      <w:rPr>
        <w:rFonts w:ascii="Courier New" w:hAnsi="Courier New" w:hint="default"/>
      </w:rPr>
    </w:lvl>
    <w:lvl w:ilvl="8" w:tplc="51E8C936">
      <w:start w:val="1"/>
      <w:numFmt w:val="bullet"/>
      <w:lvlText w:val=""/>
      <w:lvlJc w:val="left"/>
      <w:pPr>
        <w:ind w:left="6480" w:hanging="360"/>
      </w:pPr>
      <w:rPr>
        <w:rFonts w:ascii="Wingdings" w:hAnsi="Wingdings" w:hint="default"/>
      </w:rPr>
    </w:lvl>
  </w:abstractNum>
  <w:abstractNum w:abstractNumId="6" w15:restartNumberingAfterBreak="0">
    <w:nsid w:val="72D301CF"/>
    <w:multiLevelType w:val="hybridMultilevel"/>
    <w:tmpl w:val="B56ECF9E"/>
    <w:lvl w:ilvl="0" w:tplc="85860EC2">
      <w:start w:val="1"/>
      <w:numFmt w:val="bullet"/>
      <w:lvlText w:val=""/>
      <w:lvlJc w:val="left"/>
      <w:pPr>
        <w:ind w:left="720" w:hanging="360"/>
      </w:pPr>
      <w:rPr>
        <w:rFonts w:ascii="Symbol" w:hAnsi="Symbol" w:hint="default"/>
      </w:rPr>
    </w:lvl>
    <w:lvl w:ilvl="1" w:tplc="9A90F90A">
      <w:start w:val="1"/>
      <w:numFmt w:val="bullet"/>
      <w:lvlText w:val="o"/>
      <w:lvlJc w:val="left"/>
      <w:pPr>
        <w:ind w:left="1440" w:hanging="360"/>
      </w:pPr>
      <w:rPr>
        <w:rFonts w:ascii="Courier New" w:hAnsi="Courier New" w:hint="default"/>
      </w:rPr>
    </w:lvl>
    <w:lvl w:ilvl="2" w:tplc="ABC4ECCE">
      <w:start w:val="1"/>
      <w:numFmt w:val="bullet"/>
      <w:lvlText w:val=""/>
      <w:lvlJc w:val="left"/>
      <w:pPr>
        <w:ind w:left="2160" w:hanging="360"/>
      </w:pPr>
      <w:rPr>
        <w:rFonts w:ascii="Wingdings" w:hAnsi="Wingdings" w:hint="default"/>
      </w:rPr>
    </w:lvl>
    <w:lvl w:ilvl="3" w:tplc="2B52532C">
      <w:start w:val="1"/>
      <w:numFmt w:val="bullet"/>
      <w:lvlText w:val=""/>
      <w:lvlJc w:val="left"/>
      <w:pPr>
        <w:ind w:left="2880" w:hanging="360"/>
      </w:pPr>
      <w:rPr>
        <w:rFonts w:ascii="Symbol" w:hAnsi="Symbol" w:hint="default"/>
      </w:rPr>
    </w:lvl>
    <w:lvl w:ilvl="4" w:tplc="1D2C71F8">
      <w:start w:val="1"/>
      <w:numFmt w:val="bullet"/>
      <w:lvlText w:val="o"/>
      <w:lvlJc w:val="left"/>
      <w:pPr>
        <w:ind w:left="3600" w:hanging="360"/>
      </w:pPr>
      <w:rPr>
        <w:rFonts w:ascii="Courier New" w:hAnsi="Courier New" w:hint="default"/>
      </w:rPr>
    </w:lvl>
    <w:lvl w:ilvl="5" w:tplc="97786D82">
      <w:start w:val="1"/>
      <w:numFmt w:val="bullet"/>
      <w:lvlText w:val=""/>
      <w:lvlJc w:val="left"/>
      <w:pPr>
        <w:ind w:left="4320" w:hanging="360"/>
      </w:pPr>
      <w:rPr>
        <w:rFonts w:ascii="Wingdings" w:hAnsi="Wingdings" w:hint="default"/>
      </w:rPr>
    </w:lvl>
    <w:lvl w:ilvl="6" w:tplc="6CCC41DA">
      <w:start w:val="1"/>
      <w:numFmt w:val="bullet"/>
      <w:lvlText w:val=""/>
      <w:lvlJc w:val="left"/>
      <w:pPr>
        <w:ind w:left="5040" w:hanging="360"/>
      </w:pPr>
      <w:rPr>
        <w:rFonts w:ascii="Symbol" w:hAnsi="Symbol" w:hint="default"/>
      </w:rPr>
    </w:lvl>
    <w:lvl w:ilvl="7" w:tplc="923A55C6">
      <w:start w:val="1"/>
      <w:numFmt w:val="bullet"/>
      <w:lvlText w:val="o"/>
      <w:lvlJc w:val="left"/>
      <w:pPr>
        <w:ind w:left="5760" w:hanging="360"/>
      </w:pPr>
      <w:rPr>
        <w:rFonts w:ascii="Courier New" w:hAnsi="Courier New" w:hint="default"/>
      </w:rPr>
    </w:lvl>
    <w:lvl w:ilvl="8" w:tplc="1FE88108">
      <w:start w:val="1"/>
      <w:numFmt w:val="bullet"/>
      <w:lvlText w:val=""/>
      <w:lvlJc w:val="left"/>
      <w:pPr>
        <w:ind w:left="6480" w:hanging="360"/>
      </w:pPr>
      <w:rPr>
        <w:rFonts w:ascii="Wingdings" w:hAnsi="Wingdings" w:hint="default"/>
      </w:rPr>
    </w:lvl>
  </w:abstractNum>
  <w:abstractNum w:abstractNumId="7" w15:restartNumberingAfterBreak="0">
    <w:nsid w:val="77FB54FB"/>
    <w:multiLevelType w:val="hybridMultilevel"/>
    <w:tmpl w:val="7DEC306A"/>
    <w:lvl w:ilvl="0" w:tplc="DA9E6B90">
      <w:start w:val="1"/>
      <w:numFmt w:val="bullet"/>
      <w:lvlText w:val=""/>
      <w:lvlJc w:val="left"/>
      <w:pPr>
        <w:ind w:left="720" w:hanging="360"/>
      </w:pPr>
      <w:rPr>
        <w:rFonts w:ascii="Symbol" w:hAnsi="Symbol" w:hint="default"/>
      </w:rPr>
    </w:lvl>
    <w:lvl w:ilvl="1" w:tplc="151E8FA0">
      <w:start w:val="1"/>
      <w:numFmt w:val="bullet"/>
      <w:lvlText w:val="o"/>
      <w:lvlJc w:val="left"/>
      <w:pPr>
        <w:ind w:left="1440" w:hanging="360"/>
      </w:pPr>
      <w:rPr>
        <w:rFonts w:ascii="Courier New" w:hAnsi="Courier New" w:hint="default"/>
      </w:rPr>
    </w:lvl>
    <w:lvl w:ilvl="2" w:tplc="5C629F3A">
      <w:start w:val="1"/>
      <w:numFmt w:val="bullet"/>
      <w:lvlText w:val=""/>
      <w:lvlJc w:val="left"/>
      <w:pPr>
        <w:ind w:left="2160" w:hanging="360"/>
      </w:pPr>
      <w:rPr>
        <w:rFonts w:ascii="Wingdings" w:hAnsi="Wingdings" w:hint="default"/>
      </w:rPr>
    </w:lvl>
    <w:lvl w:ilvl="3" w:tplc="0914B7D6">
      <w:start w:val="1"/>
      <w:numFmt w:val="bullet"/>
      <w:lvlText w:val=""/>
      <w:lvlJc w:val="left"/>
      <w:pPr>
        <w:ind w:left="2880" w:hanging="360"/>
      </w:pPr>
      <w:rPr>
        <w:rFonts w:ascii="Symbol" w:hAnsi="Symbol" w:hint="default"/>
      </w:rPr>
    </w:lvl>
    <w:lvl w:ilvl="4" w:tplc="2990C61E">
      <w:start w:val="1"/>
      <w:numFmt w:val="bullet"/>
      <w:lvlText w:val="o"/>
      <w:lvlJc w:val="left"/>
      <w:pPr>
        <w:ind w:left="3600" w:hanging="360"/>
      </w:pPr>
      <w:rPr>
        <w:rFonts w:ascii="Courier New" w:hAnsi="Courier New" w:hint="default"/>
      </w:rPr>
    </w:lvl>
    <w:lvl w:ilvl="5" w:tplc="ED14A124">
      <w:start w:val="1"/>
      <w:numFmt w:val="bullet"/>
      <w:lvlText w:val=""/>
      <w:lvlJc w:val="left"/>
      <w:pPr>
        <w:ind w:left="4320" w:hanging="360"/>
      </w:pPr>
      <w:rPr>
        <w:rFonts w:ascii="Wingdings" w:hAnsi="Wingdings" w:hint="default"/>
      </w:rPr>
    </w:lvl>
    <w:lvl w:ilvl="6" w:tplc="5A6670B4">
      <w:start w:val="1"/>
      <w:numFmt w:val="bullet"/>
      <w:lvlText w:val=""/>
      <w:lvlJc w:val="left"/>
      <w:pPr>
        <w:ind w:left="5040" w:hanging="360"/>
      </w:pPr>
      <w:rPr>
        <w:rFonts w:ascii="Symbol" w:hAnsi="Symbol" w:hint="default"/>
      </w:rPr>
    </w:lvl>
    <w:lvl w:ilvl="7" w:tplc="377CED76">
      <w:start w:val="1"/>
      <w:numFmt w:val="bullet"/>
      <w:lvlText w:val="o"/>
      <w:lvlJc w:val="left"/>
      <w:pPr>
        <w:ind w:left="5760" w:hanging="360"/>
      </w:pPr>
      <w:rPr>
        <w:rFonts w:ascii="Courier New" w:hAnsi="Courier New" w:hint="default"/>
      </w:rPr>
    </w:lvl>
    <w:lvl w:ilvl="8" w:tplc="51D6D2F8">
      <w:start w:val="1"/>
      <w:numFmt w:val="bullet"/>
      <w:lvlText w:val=""/>
      <w:lvlJc w:val="left"/>
      <w:pPr>
        <w:ind w:left="6480" w:hanging="360"/>
      </w:pPr>
      <w:rPr>
        <w:rFonts w:ascii="Wingdings" w:hAnsi="Wingdings" w:hint="default"/>
      </w:rPr>
    </w:lvl>
  </w:abstractNum>
  <w:num w:numId="1" w16cid:durableId="899827872">
    <w:abstractNumId w:val="5"/>
  </w:num>
  <w:num w:numId="2" w16cid:durableId="1017804484">
    <w:abstractNumId w:val="1"/>
  </w:num>
  <w:num w:numId="3" w16cid:durableId="251938860">
    <w:abstractNumId w:val="4"/>
  </w:num>
  <w:num w:numId="4" w16cid:durableId="1339693270">
    <w:abstractNumId w:val="6"/>
  </w:num>
  <w:num w:numId="5" w16cid:durableId="1210458697">
    <w:abstractNumId w:val="2"/>
  </w:num>
  <w:num w:numId="6" w16cid:durableId="2014408003">
    <w:abstractNumId w:val="7"/>
  </w:num>
  <w:num w:numId="7" w16cid:durableId="1759596386">
    <w:abstractNumId w:val="0"/>
  </w:num>
  <w:num w:numId="8" w16cid:durableId="259873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93EDA6"/>
    <w:rsid w:val="000747A1"/>
    <w:rsid w:val="0007A33B"/>
    <w:rsid w:val="0009459B"/>
    <w:rsid w:val="000F70B1"/>
    <w:rsid w:val="001A7B3B"/>
    <w:rsid w:val="001F0FAE"/>
    <w:rsid w:val="001F3AC8"/>
    <w:rsid w:val="00207182"/>
    <w:rsid w:val="002F4846"/>
    <w:rsid w:val="003579C1"/>
    <w:rsid w:val="003A05CF"/>
    <w:rsid w:val="0040193D"/>
    <w:rsid w:val="00431D7C"/>
    <w:rsid w:val="004E744E"/>
    <w:rsid w:val="0054747F"/>
    <w:rsid w:val="005500F5"/>
    <w:rsid w:val="0064715D"/>
    <w:rsid w:val="00703E48"/>
    <w:rsid w:val="00832AA9"/>
    <w:rsid w:val="008D5915"/>
    <w:rsid w:val="00925E0D"/>
    <w:rsid w:val="00926EC9"/>
    <w:rsid w:val="00935764"/>
    <w:rsid w:val="00A04379"/>
    <w:rsid w:val="00A80D3F"/>
    <w:rsid w:val="00A94F79"/>
    <w:rsid w:val="00D1157E"/>
    <w:rsid w:val="00E75272"/>
    <w:rsid w:val="00FB032F"/>
    <w:rsid w:val="0495DA9B"/>
    <w:rsid w:val="05E2F6CB"/>
    <w:rsid w:val="09426860"/>
    <w:rsid w:val="0DDD8260"/>
    <w:rsid w:val="106DEC06"/>
    <w:rsid w:val="143DC103"/>
    <w:rsid w:val="192A94B9"/>
    <w:rsid w:val="19D1093E"/>
    <w:rsid w:val="1CA398EC"/>
    <w:rsid w:val="1D13EBEA"/>
    <w:rsid w:val="1E5E53EC"/>
    <w:rsid w:val="1F62E13B"/>
    <w:rsid w:val="23D829D7"/>
    <w:rsid w:val="272C28D3"/>
    <w:rsid w:val="3393EDA6"/>
    <w:rsid w:val="3D7CA882"/>
    <w:rsid w:val="405DBF15"/>
    <w:rsid w:val="419A561A"/>
    <w:rsid w:val="43AFE40E"/>
    <w:rsid w:val="4F3B026B"/>
    <w:rsid w:val="515D732C"/>
    <w:rsid w:val="535866CD"/>
    <w:rsid w:val="5417ABE7"/>
    <w:rsid w:val="546339D2"/>
    <w:rsid w:val="5844DBB6"/>
    <w:rsid w:val="621112E8"/>
    <w:rsid w:val="641D3AA4"/>
    <w:rsid w:val="673D6B42"/>
    <w:rsid w:val="6BAC13A6"/>
    <w:rsid w:val="7175F393"/>
    <w:rsid w:val="7608C759"/>
    <w:rsid w:val="7D521882"/>
    <w:rsid w:val="7EE898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393EDA6"/>
  <w15:chartTrackingRefBased/>
  <w15:docId w15:val="{05B5CF2E-9060-4287-A393-E515D625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9426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9426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379"/>
    <w:pPr>
      <w:tabs>
        <w:tab w:val="center" w:pos="4513"/>
        <w:tab w:val="right" w:pos="9026"/>
      </w:tabs>
      <w:snapToGrid w:val="0"/>
    </w:pPr>
  </w:style>
  <w:style w:type="character" w:customStyle="1" w:styleId="HeaderChar">
    <w:name w:val="Header Char"/>
    <w:basedOn w:val="DefaultParagraphFont"/>
    <w:link w:val="Header"/>
    <w:uiPriority w:val="99"/>
    <w:rsid w:val="00A04379"/>
  </w:style>
  <w:style w:type="paragraph" w:styleId="Footer">
    <w:name w:val="footer"/>
    <w:basedOn w:val="Normal"/>
    <w:link w:val="FooterChar"/>
    <w:uiPriority w:val="99"/>
    <w:unhideWhenUsed/>
    <w:rsid w:val="00A04379"/>
    <w:pPr>
      <w:tabs>
        <w:tab w:val="center" w:pos="4513"/>
        <w:tab w:val="right" w:pos="9026"/>
      </w:tabs>
      <w:snapToGrid w:val="0"/>
    </w:pPr>
  </w:style>
  <w:style w:type="character" w:customStyle="1" w:styleId="FooterChar">
    <w:name w:val="Footer Char"/>
    <w:basedOn w:val="DefaultParagraphFont"/>
    <w:link w:val="Footer"/>
    <w:uiPriority w:val="99"/>
    <w:rsid w:val="00A04379"/>
  </w:style>
  <w:style w:type="paragraph" w:styleId="ListParagraph">
    <w:name w:val="List Paragraph"/>
    <w:basedOn w:val="Normal"/>
    <w:uiPriority w:val="34"/>
    <w:qFormat/>
    <w:rsid w:val="09426860"/>
    <w:pPr>
      <w:ind w:left="720"/>
      <w:contextualSpacing/>
    </w:pPr>
  </w:style>
  <w:style w:type="character" w:styleId="Hyperlink">
    <w:name w:val="Hyperlink"/>
    <w:basedOn w:val="DefaultParagraphFont"/>
    <w:uiPriority w:val="99"/>
    <w:unhideWhenUsed/>
    <w:rsid w:val="0942686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styleId="UnresolvedMention">
    <w:name w:val="Unresolved Mention"/>
    <w:basedOn w:val="DefaultParagraphFont"/>
    <w:uiPriority w:val="99"/>
    <w:semiHidden/>
    <w:unhideWhenUsed/>
    <w:rsid w:val="002F4846"/>
    <w:rPr>
      <w:color w:val="605E5C"/>
      <w:shd w:val="clear" w:color="auto" w:fill="E1DFDD"/>
    </w:rPr>
  </w:style>
  <w:style w:type="paragraph" w:styleId="PlainText">
    <w:name w:val="Plain Text"/>
    <w:basedOn w:val="Normal"/>
    <w:link w:val="PlainTextChar"/>
    <w:uiPriority w:val="99"/>
    <w:unhideWhenUsed/>
    <w:rsid w:val="0054747F"/>
    <w:pPr>
      <w:spacing w:after="0" w:line="240" w:lineRule="auto"/>
    </w:pPr>
    <w:rPr>
      <w:rFonts w:ascii="Consolas" w:eastAsiaTheme="minorHAnsi" w:hAnsi="Consolas"/>
      <w:kern w:val="2"/>
      <w:sz w:val="21"/>
      <w:szCs w:val="21"/>
      <w:lang w:eastAsia="en-US"/>
      <w14:ligatures w14:val="standardContextual"/>
    </w:rPr>
  </w:style>
  <w:style w:type="character" w:customStyle="1" w:styleId="PlainTextChar">
    <w:name w:val="Plain Text Char"/>
    <w:basedOn w:val="DefaultParagraphFont"/>
    <w:link w:val="PlainText"/>
    <w:uiPriority w:val="99"/>
    <w:rsid w:val="0054747F"/>
    <w:rPr>
      <w:rFonts w:ascii="Consolas" w:eastAsiaTheme="minorHAnsi" w:hAnsi="Consolas"/>
      <w:kern w:val="2"/>
      <w:sz w:val="21"/>
      <w:szCs w:val="21"/>
      <w:lang w:eastAsia="en-US"/>
      <w14:ligatures w14:val="standardContextual"/>
    </w:rPr>
  </w:style>
  <w:style w:type="character" w:customStyle="1" w:styleId="Heading2Char">
    <w:name w:val="Heading 2 Char"/>
    <w:basedOn w:val="DefaultParagraphFont"/>
    <w:link w:val="Heading2"/>
    <w:uiPriority w:val="9"/>
    <w:rsid w:val="00A94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F7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Miller, John S. (VDOT)</cp:lastModifiedBy>
  <cp:revision>10</cp:revision>
  <dcterms:created xsi:type="dcterms:W3CDTF">2026-04-28T13:29:00Z</dcterms:created>
  <dcterms:modified xsi:type="dcterms:W3CDTF">2026-05-05T21:40:00Z</dcterms:modified>
</cp:coreProperties>
</file>