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3E332F2F" w:rsidP="00ED2A36" w:rsidRDefault="3E332F2F" w14:paraId="4522E608" w14:textId="6D88BB52">
      <w:pPr>
        <w:tabs>
          <w:tab w:val="num" w:pos="720"/>
        </w:tabs>
        <w:spacing w:after="0" w:line="240" w:lineRule="auto"/>
        <w:jc w:val="center"/>
        <w:rPr>
          <w:rFonts w:ascii="Calibri" w:hAnsi="Calibri" w:cs="Calibri"/>
          <w:b/>
          <w:bCs/>
          <w:color w:val="000000" w:themeColor="text1"/>
        </w:rPr>
      </w:pPr>
      <w:r w:rsidRPr="00ED2A36">
        <w:rPr>
          <w:rFonts w:ascii="Calibri" w:hAnsi="Calibri" w:cs="Calibri"/>
          <w:b/>
          <w:bCs/>
          <w:color w:val="000000" w:themeColor="text1"/>
        </w:rPr>
        <w:t>21_bzone_dwelling_units</w:t>
      </w:r>
    </w:p>
    <w:p w:rsidRPr="00ED2A36" w:rsidR="00ED2A36" w:rsidP="00ED2A36" w:rsidRDefault="00ED2A36" w14:paraId="7B8BE15A" w14:textId="77777777">
      <w:pPr>
        <w:tabs>
          <w:tab w:val="num" w:pos="720"/>
        </w:tabs>
        <w:spacing w:after="0" w:line="240" w:lineRule="auto"/>
        <w:jc w:val="center"/>
        <w:rPr>
          <w:rFonts w:ascii="Calibri" w:hAnsi="Calibri" w:cs="Calibri"/>
          <w:b/>
          <w:bCs/>
          <w:color w:val="000000" w:themeColor="text1"/>
        </w:rPr>
      </w:pPr>
    </w:p>
    <w:p w:rsidR="3E332F2F" w:rsidP="00ED2A36" w:rsidRDefault="00030AB7" w14:paraId="421776AE" w14:textId="5FED6F2D">
      <w:pPr>
        <w:tabs>
          <w:tab w:val="num" w:pos="720"/>
        </w:tabs>
        <w:spacing w:after="0" w:line="240" w:lineRule="auto"/>
        <w:jc w:val="center"/>
        <w:rPr>
          <w:rFonts w:ascii="Calibri" w:hAnsi="Calibri" w:cs="Calibri"/>
          <w:b/>
          <w:bCs/>
          <w:color w:val="000000" w:themeColor="text1"/>
        </w:rPr>
      </w:pPr>
      <w:r w:rsidRPr="00ED2A36">
        <w:rPr>
          <w:rFonts w:ascii="Calibri" w:hAnsi="Calibri" w:cs="Calibri"/>
          <w:b/>
          <w:bCs/>
          <w:color w:val="000000" w:themeColor="text1"/>
        </w:rPr>
        <w:t>April 24, 2026</w:t>
      </w:r>
    </w:p>
    <w:p w:rsidRPr="00ED2A36" w:rsidR="00ED2A36" w:rsidP="00ED2A36" w:rsidRDefault="00ED2A36" w14:paraId="08912E03" w14:textId="77777777">
      <w:pPr>
        <w:tabs>
          <w:tab w:val="num" w:pos="720"/>
        </w:tabs>
        <w:spacing w:after="0" w:line="240" w:lineRule="auto"/>
        <w:jc w:val="center"/>
        <w:rPr>
          <w:rFonts w:ascii="Calibri" w:hAnsi="Calibri" w:cs="Calibri"/>
          <w:color w:val="000000" w:themeColor="text1"/>
        </w:rPr>
      </w:pPr>
    </w:p>
    <w:p w:rsidR="00D00040" w:rsidP="00ED2A36" w:rsidRDefault="40008D48" w14:paraId="68854D09" w14:textId="12FE660A">
      <w:pPr>
        <w:spacing w:after="0" w:line="240" w:lineRule="auto"/>
        <w:ind w:firstLine="720"/>
        <w:rPr>
          <w:rFonts w:ascii="Calibri" w:hAnsi="Calibri" w:cs="Calibri"/>
        </w:rPr>
      </w:pPr>
      <w:r w:rsidRPr="00ED2A36">
        <w:rPr>
          <w:rFonts w:ascii="Calibri" w:hAnsi="Calibri" w:cs="Calibri"/>
        </w:rPr>
        <w:t>VisionEval (</w:t>
      </w:r>
      <w:hyperlink r:id="rId7">
        <w:r w:rsidRPr="00ED2A36">
          <w:rPr>
            <w:rStyle w:val="Hyperlink"/>
            <w:rFonts w:ascii="Calibri" w:hAnsi="Calibri" w:cs="Calibri"/>
            <w:color w:val="auto"/>
          </w:rPr>
          <w:t>https://visioneval.github.io/docs/model-inputs.html</w:t>
        </w:r>
      </w:hyperlink>
      <w:r w:rsidRPr="00ED2A36">
        <w:rPr>
          <w:rFonts w:ascii="Calibri" w:hAnsi="Calibri" w:cs="Calibri"/>
        </w:rPr>
        <w:t xml:space="preserve">) explains that the definition for </w:t>
      </w:r>
      <w:r w:rsidRPr="00ED2A36">
        <w:rPr>
          <w:rFonts w:ascii="Calibri" w:hAnsi="Calibri" w:cs="Calibri"/>
          <w:i/>
          <w:iCs/>
        </w:rPr>
        <w:t>bzone_dwelling_units.csv</w:t>
      </w:r>
      <w:r w:rsidRPr="00ED2A36">
        <w:rPr>
          <w:rFonts w:ascii="Calibri" w:hAnsi="Calibri" w:cs="Calibri"/>
        </w:rPr>
        <w:t xml:space="preserve"> is that it contains three attributes: </w:t>
      </w:r>
      <w:r w:rsidRPr="00ED2A36">
        <w:rPr>
          <w:rFonts w:ascii="Calibri" w:hAnsi="Calibri" w:cs="Calibri"/>
          <w:b/>
          <w:bCs/>
        </w:rPr>
        <w:t>SFDU</w:t>
      </w:r>
      <w:r w:rsidRPr="00ED2A36">
        <w:rPr>
          <w:rFonts w:ascii="Calibri" w:hAnsi="Calibri" w:cs="Calibri"/>
        </w:rPr>
        <w:t xml:space="preserve">, defined as the number of single-family dwelling units; </w:t>
      </w:r>
      <w:r w:rsidRPr="00ED2A36">
        <w:rPr>
          <w:rFonts w:ascii="Calibri" w:hAnsi="Calibri" w:cs="Calibri"/>
          <w:b/>
          <w:bCs/>
        </w:rPr>
        <w:t>MFDU</w:t>
      </w:r>
      <w:r w:rsidRPr="00ED2A36">
        <w:rPr>
          <w:rFonts w:ascii="Calibri" w:hAnsi="Calibri" w:cs="Calibri"/>
        </w:rPr>
        <w:t>, defined as the number of multifamily dwelling units</w:t>
      </w:r>
      <w:r w:rsidRPr="00ED2A36" w:rsidR="00030AB7">
        <w:rPr>
          <w:rFonts w:ascii="Calibri" w:hAnsi="Calibri" w:cs="Calibri"/>
        </w:rPr>
        <w:t xml:space="preserve"> which have two or more units</w:t>
      </w:r>
      <w:r w:rsidRPr="00ED2A36">
        <w:rPr>
          <w:rFonts w:ascii="Calibri" w:hAnsi="Calibri" w:cs="Calibri"/>
        </w:rPr>
        <w:t xml:space="preserve">; and </w:t>
      </w:r>
      <w:r w:rsidRPr="00ED2A36">
        <w:rPr>
          <w:rFonts w:ascii="Calibri" w:hAnsi="Calibri" w:cs="Calibri"/>
          <w:b/>
          <w:bCs/>
        </w:rPr>
        <w:t>GQDU</w:t>
      </w:r>
      <w:r w:rsidRPr="00ED2A36">
        <w:rPr>
          <w:rFonts w:ascii="Calibri" w:hAnsi="Calibri" w:cs="Calibri"/>
        </w:rPr>
        <w:t xml:space="preserve">, defined as the number of </w:t>
      </w:r>
      <w:r w:rsidRPr="00ED2A36" w:rsidR="00030AB7">
        <w:rPr>
          <w:rFonts w:ascii="Calibri" w:hAnsi="Calibri" w:cs="Calibri"/>
        </w:rPr>
        <w:t xml:space="preserve">non-institutionalized </w:t>
      </w:r>
      <w:r w:rsidRPr="00ED2A36">
        <w:rPr>
          <w:rFonts w:ascii="Calibri" w:hAnsi="Calibri" w:cs="Calibri"/>
        </w:rPr>
        <w:t>group quarters dwelling units</w:t>
      </w:r>
      <w:r w:rsidRPr="00ED2A36" w:rsidR="00030AB7">
        <w:rPr>
          <w:rFonts w:ascii="Calibri" w:hAnsi="Calibri" w:cs="Calibri"/>
        </w:rPr>
        <w:t xml:space="preserve"> such as dormitories and military barracks but not jails nor nursing homes.  </w:t>
      </w:r>
      <w:r w:rsidRPr="00ED2A36" w:rsidR="00030AB7">
        <w:rPr>
          <w:rFonts w:ascii="Calibri" w:hAnsi="Calibri" w:cs="Calibri"/>
        </w:rPr>
        <w:t xml:space="preserve">These values are shown below for </w:t>
      </w:r>
      <w:r w:rsidRPr="00ED2A36" w:rsidR="00177353">
        <w:rPr>
          <w:rFonts w:ascii="Calibri" w:hAnsi="Calibri" w:cs="Calibri"/>
        </w:rPr>
        <w:t>four</w:t>
      </w:r>
      <w:r w:rsidRPr="00ED2A36" w:rsidR="00030AB7">
        <w:rPr>
          <w:rFonts w:ascii="Calibri" w:hAnsi="Calibri" w:cs="Calibri"/>
        </w:rPr>
        <w:t xml:space="preserve"> bzones:   515400010001 (an urban area near Charlottesville’s downtown pedestrian mall), 510030107021 (a suburban area near Route 29 in Albemarle County, 510030110004 (a rural residential area in Albemarle County)</w:t>
      </w:r>
      <w:r w:rsidRPr="00ED2A36" w:rsidR="00177353">
        <w:rPr>
          <w:rFonts w:ascii="Calibri" w:hAnsi="Calibri" w:cs="Calibri"/>
        </w:rPr>
        <w:t xml:space="preserve">, and </w:t>
      </w:r>
      <w:r w:rsidRPr="00ED2A36" w:rsidR="00177353">
        <w:rPr>
          <w:rFonts w:ascii="Calibri" w:hAnsi="Calibri" w:cs="Calibri"/>
        </w:rPr>
        <w:t>510030109041</w:t>
      </w:r>
      <w:r w:rsidRPr="00ED2A36" w:rsidR="00177353">
        <w:rPr>
          <w:rFonts w:ascii="Calibri" w:hAnsi="Calibri" w:cs="Calibri"/>
        </w:rPr>
        <w:t xml:space="preserve"> (an area near the University of Virginia)</w:t>
      </w:r>
      <w:r w:rsidRPr="00ED2A36" w:rsidR="00030AB7">
        <w:rPr>
          <w:rFonts w:ascii="Calibri" w:hAnsi="Calibri" w:cs="Calibri"/>
        </w:rPr>
        <w:t>.</w:t>
      </w:r>
      <w:r w:rsidRPr="00ED2A36">
        <w:rPr>
          <w:rFonts w:ascii="Calibri" w:hAnsi="Calibri" w:cs="Calibri"/>
        </w:rPr>
        <w:t xml:space="preserve"> </w:t>
      </w:r>
      <w:r w:rsidRPr="00ED2A36" w:rsidR="00EA35F2">
        <w:rPr>
          <w:rFonts w:ascii="Calibri" w:hAnsi="Calibri" w:cs="Calibri"/>
        </w:rPr>
        <w:t xml:space="preserve"> Most bzones have no group quarters dwelling units.</w:t>
      </w:r>
    </w:p>
    <w:p w:rsidRPr="00ED2A36" w:rsidR="00ED2A36" w:rsidP="00ED2A36" w:rsidRDefault="00ED2A36" w14:paraId="1B66F089" w14:textId="77777777">
      <w:pPr>
        <w:spacing w:after="0" w:line="240" w:lineRule="auto"/>
        <w:ind w:firstLine="720"/>
        <w:rPr>
          <w:rFonts w:ascii="Calibri" w:hAnsi="Calibri" w:cs="Calibri"/>
        </w:rPr>
      </w:pPr>
    </w:p>
    <w:p w:rsidRPr="00ED2A36" w:rsidR="00D00040" w:rsidP="00ED2A36" w:rsidRDefault="00EA35F2" w14:paraId="3A287480" w14:textId="24B057B0">
      <w:pPr>
        <w:spacing w:after="0" w:line="240" w:lineRule="auto"/>
        <w:rPr>
          <w:rFonts w:ascii="Calibri" w:hAnsi="Calibri" w:cs="Calibri"/>
        </w:rPr>
      </w:pPr>
      <w:r w:rsidRPr="00ED2A36">
        <w:rPr>
          <w:rFonts w:ascii="Calibri" w:hAnsi="Calibri" w:cs="Calibri"/>
        </w:rPr>
        <w:drawing>
          <wp:inline distT="0" distB="0" distL="0" distR="0" wp14:anchorId="1C20CD70" wp14:editId="3175F4A4">
            <wp:extent cx="2429214" cy="1705213"/>
            <wp:effectExtent l="0" t="0" r="9525" b="9525"/>
            <wp:docPr id="103848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85327" name=""/>
                    <pic:cNvPicPr/>
                  </pic:nvPicPr>
                  <pic:blipFill>
                    <a:blip r:embed="rId8"/>
                    <a:stretch>
                      <a:fillRect/>
                    </a:stretch>
                  </pic:blipFill>
                  <pic:spPr>
                    <a:xfrm>
                      <a:off x="0" y="0"/>
                      <a:ext cx="2429214" cy="1705213"/>
                    </a:xfrm>
                    <a:prstGeom prst="rect">
                      <a:avLst/>
                    </a:prstGeom>
                  </pic:spPr>
                </pic:pic>
              </a:graphicData>
            </a:graphic>
          </wp:inline>
        </w:drawing>
      </w:r>
    </w:p>
    <w:p w:rsidRPr="00ED2A36" w:rsidR="00D00040" w:rsidP="00ED2A36" w:rsidRDefault="00D00040" w14:paraId="410AE125" w14:textId="1536FED6">
      <w:pPr>
        <w:spacing w:after="0" w:line="240" w:lineRule="auto"/>
        <w:rPr>
          <w:rFonts w:ascii="Calibri" w:hAnsi="Calibri" w:cs="Calibri"/>
        </w:rPr>
      </w:pPr>
    </w:p>
    <w:p w:rsidR="00D00040" w:rsidP="00ED2A36" w:rsidRDefault="40008D48" w14:paraId="04C5D4A7" w14:textId="0F99E96C">
      <w:pPr>
        <w:pStyle w:val="Heading2"/>
        <w:spacing w:before="0" w:after="0" w:line="240" w:lineRule="auto"/>
        <w:rPr>
          <w:rFonts w:ascii="Calibri" w:hAnsi="Calibri" w:cs="Calibri" w:eastAsiaTheme="minorEastAsia"/>
          <w:b/>
          <w:bCs/>
          <w:color w:val="auto"/>
          <w:sz w:val="24"/>
          <w:szCs w:val="24"/>
        </w:rPr>
      </w:pPr>
      <w:r w:rsidRPr="00ED2A36">
        <w:rPr>
          <w:rFonts w:ascii="Calibri" w:hAnsi="Calibri" w:cs="Calibri" w:eastAsiaTheme="minorEastAsia"/>
          <w:b/>
          <w:bCs/>
          <w:color w:val="auto"/>
          <w:sz w:val="24"/>
          <w:szCs w:val="24"/>
        </w:rPr>
        <w:t>Possible Scenario</w:t>
      </w:r>
    </w:p>
    <w:p w:rsidR="00ED2A36" w:rsidP="00ED2A36" w:rsidRDefault="00ED2A36" w14:paraId="6743C3BD" w14:textId="77777777">
      <w:pPr>
        <w:spacing w:after="0" w:line="240" w:lineRule="auto"/>
        <w:ind w:firstLine="720"/>
        <w:rPr>
          <w:rFonts w:ascii="Calibri" w:hAnsi="Calibri" w:eastAsia="Times New Roman" w:cs="Calibri"/>
        </w:rPr>
      </w:pPr>
    </w:p>
    <w:p w:rsidR="00D00040" w:rsidP="00ED2A36" w:rsidRDefault="53597AB8" w14:paraId="58A11DD3" w14:textId="2DB90586">
      <w:pPr>
        <w:spacing w:after="0" w:line="240" w:lineRule="auto"/>
        <w:ind w:firstLine="720"/>
        <w:rPr>
          <w:rFonts w:ascii="Calibri" w:hAnsi="Calibri" w:eastAsia="Times New Roman" w:cs="Calibri"/>
        </w:rPr>
      </w:pPr>
      <w:r w:rsidRPr="00ED2A36">
        <w:rPr>
          <w:rFonts w:ascii="Calibri" w:hAnsi="Calibri" w:eastAsia="Times New Roman" w:cs="Calibri"/>
        </w:rPr>
        <w:t xml:space="preserve">One scenario in VisionEval using this file is to evaluate the impact of targeted housing policy and growth patterns in </w:t>
      </w:r>
      <w:r w:rsidRPr="00ED2A36" w:rsidR="00EA35F2">
        <w:rPr>
          <w:rFonts w:ascii="Calibri" w:hAnsi="Calibri" w:eastAsia="Times New Roman" w:cs="Calibri"/>
        </w:rPr>
        <w:t xml:space="preserve">a specific area.  </w:t>
      </w:r>
      <w:r w:rsidRPr="00ED2A36">
        <w:rPr>
          <w:rFonts w:ascii="Calibri" w:hAnsi="Calibri" w:eastAsia="Times New Roman" w:cs="Calibri"/>
        </w:rPr>
        <w:t xml:space="preserve">For example, suppose </w:t>
      </w:r>
      <w:r w:rsidRPr="00ED2A36" w:rsidR="00EA35F2">
        <w:rPr>
          <w:rFonts w:ascii="Calibri" w:hAnsi="Calibri" w:eastAsia="Times New Roman" w:cs="Calibri"/>
        </w:rPr>
        <w:t xml:space="preserve">the </w:t>
      </w:r>
      <w:r w:rsidRPr="00ED2A36">
        <w:rPr>
          <w:rFonts w:ascii="Calibri" w:hAnsi="Calibri" w:eastAsia="Times New Roman" w:cs="Calibri"/>
        </w:rPr>
        <w:t>City of Charlottesville implements zoning reforms that encourage multifamily development near its downtown core and along transit corridors, while Albemarle County continues to experience primarily single-family suburban expansion. In this case, the model would reflect an increase in MFDU in Charlottesville and a higher share of SFDU in Albemarle. VisionEval would then simulate how these differing development patterns influence household behavior</w:t>
      </w:r>
      <w:r w:rsidRPr="00ED2A36" w:rsidR="0D1BC13D">
        <w:rPr>
          <w:rFonts w:ascii="Calibri" w:hAnsi="Calibri" w:eastAsia="Times New Roman" w:cs="Calibri"/>
        </w:rPr>
        <w:t xml:space="preserve"> </w:t>
      </w:r>
      <w:r w:rsidRPr="00ED2A36">
        <w:rPr>
          <w:rFonts w:ascii="Calibri" w:hAnsi="Calibri" w:eastAsia="Times New Roman" w:cs="Calibri"/>
        </w:rPr>
        <w:t>specifically, lower vehicle ownership rates and increased walking, biking, and transit use in Charlottesville, compared to higher car dependence and longer trip distances in Albemarle County.</w:t>
      </w:r>
    </w:p>
    <w:p w:rsidRPr="00ED2A36" w:rsidR="00ED2A36" w:rsidP="00ED2A36" w:rsidRDefault="00ED2A36" w14:paraId="119AF76D" w14:textId="77777777">
      <w:pPr>
        <w:spacing w:after="0" w:line="240" w:lineRule="auto"/>
        <w:ind w:firstLine="720"/>
        <w:rPr>
          <w:rFonts w:ascii="Calibri" w:hAnsi="Calibri" w:eastAsia="Times New Roman" w:cs="Calibri"/>
        </w:rPr>
      </w:pPr>
    </w:p>
    <w:p w:rsidR="00D00040" w:rsidP="00ED2A36" w:rsidRDefault="53597AB8" w14:paraId="4F1BA3F0" w14:textId="20C1D6D7">
      <w:pPr>
        <w:spacing w:after="0" w:line="240" w:lineRule="auto"/>
        <w:ind w:firstLine="720"/>
        <w:rPr>
          <w:rFonts w:ascii="Calibri" w:hAnsi="Calibri" w:eastAsia="Times New Roman" w:cs="Calibri"/>
        </w:rPr>
      </w:pPr>
      <w:r w:rsidRPr="00ED2A36">
        <w:rPr>
          <w:rFonts w:ascii="Calibri" w:hAnsi="Calibri" w:eastAsia="Times New Roman" w:cs="Calibri"/>
        </w:rPr>
        <w:t xml:space="preserve">This type of scenario is particularly relevant for real-world planning decisions, such as evaluating the transportation impacts of comprehensive plans or housing initiatives. For instance, increasing multifamily housing near employment centers or the University of Virginia could </w:t>
      </w:r>
      <w:r w:rsidRPr="00ED2A36">
        <w:rPr>
          <w:rFonts w:ascii="Calibri" w:hAnsi="Calibri" w:eastAsia="Times New Roman" w:cs="Calibri"/>
        </w:rPr>
        <w:t>reduce short car trips and shift travel toward active modes, while also affecting parking demand and congestion. Similarly, areas with significant group quarters populations</w:t>
      </w:r>
      <w:r w:rsidRPr="00ED2A36" w:rsidR="2BFD3328">
        <w:rPr>
          <w:rFonts w:ascii="Calibri" w:hAnsi="Calibri" w:eastAsia="Times New Roman" w:cs="Calibri"/>
        </w:rPr>
        <w:t xml:space="preserve"> </w:t>
      </w:r>
      <w:r w:rsidRPr="00ED2A36">
        <w:rPr>
          <w:rFonts w:ascii="Calibri" w:hAnsi="Calibri" w:eastAsia="Times New Roman" w:cs="Calibri"/>
        </w:rPr>
        <w:t>such as student housing or assisted living facilities—may exhibit lower vehicle ownership and distinct travel patterns compared to traditional households. By adjusting SFDU, MFDU, and GQDU across Bzones, VisionEval allows planners to directly test how land use decisions translate into measurable changes in VMT, emissions, and transportation system performance.</w:t>
      </w:r>
    </w:p>
    <w:p w:rsidRPr="00ED2A36" w:rsidR="00ED2A36" w:rsidP="00ED2A36" w:rsidRDefault="00ED2A36" w14:paraId="47BF6129" w14:textId="77777777">
      <w:pPr>
        <w:spacing w:after="0" w:line="240" w:lineRule="auto"/>
        <w:ind w:firstLine="720"/>
        <w:rPr>
          <w:rFonts w:ascii="Calibri" w:hAnsi="Calibri" w:eastAsia="Times New Roman" w:cs="Calibri"/>
        </w:rPr>
      </w:pPr>
    </w:p>
    <w:p w:rsidR="00EA35F2" w:rsidP="00ED2A36" w:rsidRDefault="00EA35F2" w14:paraId="75C430B7" w14:textId="6E745834">
      <w:pPr>
        <w:spacing w:after="0" w:line="240" w:lineRule="auto"/>
        <w:ind w:firstLine="720"/>
        <w:rPr>
          <w:rFonts w:ascii="Calibri" w:hAnsi="Calibri" w:eastAsia="Times New Roman" w:cs="Calibri"/>
        </w:rPr>
      </w:pPr>
      <w:r w:rsidRPr="00ED2A36">
        <w:rPr>
          <w:rFonts w:ascii="Calibri" w:hAnsi="Calibri" w:eastAsia="Times New Roman" w:cs="Calibri"/>
        </w:rPr>
        <w:t xml:space="preserve">Note that when adjusting dwelling units, one must also adjust </w:t>
      </w:r>
      <w:r w:rsidRPr="00ED2A36" w:rsidR="00ED2A36">
        <w:rPr>
          <w:rFonts w:ascii="Calibri" w:hAnsi="Calibri" w:eastAsia="Times New Roman" w:cs="Calibri"/>
        </w:rPr>
        <w:t>three</w:t>
      </w:r>
      <w:r w:rsidRPr="00ED2A36">
        <w:rPr>
          <w:rFonts w:ascii="Calibri" w:hAnsi="Calibri" w:eastAsia="Times New Roman" w:cs="Calibri"/>
        </w:rPr>
        <w:t xml:space="preserve"> population files </w:t>
      </w:r>
      <w:r w:rsidRPr="00ED2A36" w:rsidR="00ED2A36">
        <w:rPr>
          <w:rFonts w:ascii="Calibri" w:hAnsi="Calibri" w:eastAsia="Times New Roman" w:cs="Calibri"/>
        </w:rPr>
        <w:t>(</w:t>
      </w:r>
      <w:r w:rsidRPr="00ED2A36" w:rsidR="00ED2A36">
        <w:rPr>
          <w:rFonts w:ascii="Calibri" w:hAnsi="Calibri" w:eastAsia="Times New Roman" w:cs="Calibri"/>
        </w:rPr>
        <w:t>azone_hh_pop_by_age.csv</w:t>
      </w:r>
      <w:r w:rsidRPr="00ED2A36" w:rsidR="00ED2A36">
        <w:rPr>
          <w:rFonts w:ascii="Calibri" w:hAnsi="Calibri" w:eastAsia="Times New Roman" w:cs="Calibri"/>
        </w:rPr>
        <w:t xml:space="preserve">, </w:t>
      </w:r>
      <w:r w:rsidRPr="00ED2A36" w:rsidR="00ED2A36">
        <w:rPr>
          <w:rFonts w:ascii="Calibri" w:hAnsi="Calibri" w:eastAsia="Times New Roman" w:cs="Calibri"/>
        </w:rPr>
        <w:t>azone_gq_pop_by_age.csv</w:t>
      </w:r>
      <w:r w:rsidRPr="00ED2A36" w:rsidR="00ED2A36">
        <w:rPr>
          <w:rFonts w:ascii="Calibri" w:hAnsi="Calibri" w:eastAsia="Times New Roman" w:cs="Calibri"/>
        </w:rPr>
        <w:t xml:space="preserve">, and </w:t>
      </w:r>
      <w:r w:rsidRPr="00ED2A36" w:rsidR="00ED2A36">
        <w:rPr>
          <w:rFonts w:ascii="Calibri" w:hAnsi="Calibri" w:eastAsia="Times New Roman" w:cs="Calibri"/>
        </w:rPr>
        <w:t>azone_hhsize_targets.cs</w:t>
      </w:r>
      <w:r w:rsidRPr="00ED2A36" w:rsidR="00ED2A36">
        <w:rPr>
          <w:rFonts w:ascii="Calibri" w:hAnsi="Calibri" w:eastAsia="Times New Roman" w:cs="Calibri"/>
        </w:rPr>
        <w:t>v).</w:t>
      </w:r>
    </w:p>
    <w:p w:rsidRPr="00ED2A36" w:rsidR="00ED2A36" w:rsidP="00ED2A36" w:rsidRDefault="00ED2A36" w14:paraId="7EC4DB8B" w14:textId="77777777">
      <w:pPr>
        <w:spacing w:after="0" w:line="240" w:lineRule="auto"/>
        <w:ind w:firstLine="720"/>
        <w:rPr>
          <w:rFonts w:ascii="Calibri" w:hAnsi="Calibri" w:eastAsia="Times New Roman" w:cs="Calibri"/>
        </w:rPr>
      </w:pPr>
    </w:p>
    <w:p w:rsidR="00D00040" w:rsidP="00ED2A36" w:rsidRDefault="40008D48" w14:paraId="4C8C880D" w14:textId="083B4C09">
      <w:pPr>
        <w:pStyle w:val="Heading2"/>
        <w:spacing w:before="0" w:after="0" w:line="240" w:lineRule="auto"/>
        <w:rPr>
          <w:rFonts w:ascii="Calibri" w:hAnsi="Calibri" w:cs="Calibri" w:eastAsiaTheme="minorEastAsia"/>
          <w:b/>
          <w:bCs/>
          <w:color w:val="auto"/>
          <w:sz w:val="24"/>
          <w:szCs w:val="24"/>
        </w:rPr>
      </w:pPr>
      <w:r w:rsidRPr="00ED2A36">
        <w:rPr>
          <w:rFonts w:ascii="Calibri" w:hAnsi="Calibri" w:cs="Calibri" w:eastAsiaTheme="minorEastAsia"/>
          <w:b/>
          <w:bCs/>
          <w:color w:val="auto"/>
          <w:sz w:val="24"/>
          <w:szCs w:val="24"/>
        </w:rPr>
        <w:t>Method Used for Virginia</w:t>
      </w:r>
    </w:p>
    <w:p w:rsidRPr="00ED2A36" w:rsidR="00ED2A36" w:rsidP="00ED2A36" w:rsidRDefault="00ED2A36" w14:paraId="426CAF61" w14:textId="77777777">
      <w:pPr>
        <w:spacing w:after="0" w:line="240" w:lineRule="auto"/>
      </w:pPr>
    </w:p>
    <w:p w:rsidR="00D00040" w:rsidP="00ED2A36" w:rsidRDefault="00370209" w14:paraId="7B027EC9" w14:textId="53DE155E">
      <w:pPr>
        <w:pStyle w:val="Heading3"/>
        <w:spacing w:before="0" w:after="0" w:line="240" w:lineRule="auto"/>
        <w:rPr>
          <w:rFonts w:ascii="Calibri" w:hAnsi="Calibri" w:cs="Calibri" w:eastAsiaTheme="minorEastAsia"/>
          <w:i/>
          <w:iCs/>
          <w:color w:val="auto"/>
          <w:sz w:val="24"/>
          <w:szCs w:val="24"/>
        </w:rPr>
      </w:pPr>
      <w:r w:rsidRPr="00ED2A36">
        <w:rPr>
          <w:rFonts w:ascii="Calibri" w:hAnsi="Calibri" w:cs="Calibri" w:eastAsiaTheme="minorEastAsia"/>
          <w:i/>
          <w:iCs/>
          <w:color w:val="auto"/>
          <w:sz w:val="24"/>
          <w:szCs w:val="24"/>
        </w:rPr>
        <w:t>Base Year</w:t>
      </w:r>
    </w:p>
    <w:p w:rsidRPr="00ED2A36" w:rsidR="00ED2A36" w:rsidP="00ED2A36" w:rsidRDefault="00ED2A36" w14:paraId="7BBB7DBC" w14:textId="77777777">
      <w:pPr>
        <w:spacing w:after="0" w:line="240" w:lineRule="auto"/>
      </w:pPr>
    </w:p>
    <w:p w:rsidRPr="00ED2A36" w:rsidR="00D00040" w:rsidP="00ED2A36" w:rsidRDefault="40008D48" w14:paraId="6BA7CC5A" w14:textId="5D474494">
      <w:pPr>
        <w:spacing w:after="0" w:line="240" w:lineRule="auto"/>
        <w:rPr>
          <w:rFonts w:ascii="Calibri" w:hAnsi="Calibri" w:cs="Calibri"/>
        </w:rPr>
      </w:pPr>
      <w:r w:rsidRPr="00ED2A36">
        <w:rPr>
          <w:rFonts w:ascii="Calibri" w:hAnsi="Calibri" w:cs="Calibri"/>
        </w:rPr>
        <w:t>Bzones represent small geographic units (generally Census block groups). This file estimates the number of dwelling units in each Bzone for both the base year (2024) and forecast year (2045).</w:t>
      </w:r>
    </w:p>
    <w:p w:rsidR="00D00040" w:rsidP="00ED2A36" w:rsidRDefault="40008D48" w14:paraId="3932B2F2" w14:textId="2FA9FDEB">
      <w:pPr>
        <w:spacing w:after="0" w:line="240" w:lineRule="auto"/>
        <w:rPr>
          <w:rFonts w:ascii="Calibri" w:hAnsi="Calibri" w:cs="Calibri"/>
        </w:rPr>
      </w:pPr>
      <w:r w:rsidRPr="00ED2A36">
        <w:rPr>
          <w:rFonts w:ascii="Calibri" w:hAnsi="Calibri" w:cs="Calibri"/>
        </w:rPr>
        <w:t>The methodology follows a Census-based classification approach, using housing unit data and standard definitions of structure type. Where necessary, simplifying assumptions were applied to ensure full coverage and consistency across all Bzones.</w:t>
      </w:r>
    </w:p>
    <w:p w:rsidRPr="00ED2A36" w:rsidR="00ED2A36" w:rsidP="00ED2A36" w:rsidRDefault="00ED2A36" w14:paraId="3F427A89" w14:textId="77777777">
      <w:pPr>
        <w:spacing w:after="0" w:line="240" w:lineRule="auto"/>
        <w:rPr>
          <w:rFonts w:ascii="Calibri" w:hAnsi="Calibri" w:cs="Calibri"/>
        </w:rPr>
      </w:pPr>
    </w:p>
    <w:p w:rsidR="00800245" w:rsidP="00ED2A36" w:rsidRDefault="00370209" w14:paraId="54431B0C" w14:textId="77777777">
      <w:pPr>
        <w:spacing w:after="0" w:line="240" w:lineRule="auto"/>
        <w:rPr>
          <w:rFonts w:ascii="Calibri" w:hAnsi="Calibri" w:cs="Calibri"/>
        </w:rPr>
      </w:pPr>
      <w:r w:rsidRPr="00ED2A36">
        <w:rPr>
          <w:rFonts w:ascii="Calibri" w:hAnsi="Calibri" w:cs="Calibri"/>
        </w:rPr>
        <w:t>Three Cens</w:t>
      </w:r>
      <w:r w:rsidRPr="00ED2A36" w:rsidR="005D7903">
        <w:rPr>
          <w:rFonts w:ascii="Calibri" w:hAnsi="Calibri" w:cs="Calibri"/>
        </w:rPr>
        <w:t xml:space="preserve">us tables were used.  </w:t>
      </w:r>
    </w:p>
    <w:p w:rsidRPr="00ED2A36" w:rsidR="00ED2A36" w:rsidP="00ED2A36" w:rsidRDefault="00ED2A36" w14:paraId="6863551B" w14:textId="77777777">
      <w:pPr>
        <w:spacing w:after="0" w:line="240" w:lineRule="auto"/>
        <w:rPr>
          <w:rFonts w:ascii="Calibri" w:hAnsi="Calibri" w:cs="Calibri"/>
        </w:rPr>
      </w:pPr>
    </w:p>
    <w:p w:rsidR="005D7903" w:rsidP="00ED2A36" w:rsidRDefault="005D7903" w14:paraId="6A2CA3E8" w14:textId="1E7B6022">
      <w:pPr>
        <w:pStyle w:val="ListParagraph"/>
        <w:numPr>
          <w:ilvl w:val="0"/>
          <w:numId w:val="9"/>
        </w:numPr>
        <w:spacing w:after="0" w:line="240" w:lineRule="auto"/>
        <w:rPr>
          <w:rFonts w:ascii="Calibri" w:hAnsi="Calibri" w:cs="Calibri"/>
        </w:rPr>
      </w:pPr>
      <w:r w:rsidRPr="00ED2A36">
        <w:rPr>
          <w:rFonts w:ascii="Calibri" w:hAnsi="Calibri" w:cs="Calibri"/>
        </w:rPr>
        <w:t xml:space="preserve">One </w:t>
      </w:r>
      <w:r w:rsidRPr="00ED2A36" w:rsidR="463BB9DA">
        <w:rPr>
          <w:rFonts w:ascii="Calibri" w:hAnsi="Calibri" w:cs="Calibri"/>
        </w:rPr>
        <w:t>source is the American Community Survey (ACS) 5-year estimates, specifically the “Units in Structure” table (Table B25024)</w:t>
      </w:r>
      <w:r w:rsidRPr="00ED2A36" w:rsidR="00DD2973">
        <w:rPr>
          <w:rFonts w:ascii="Calibri" w:hAnsi="Calibri" w:cs="Calibri"/>
        </w:rPr>
        <w:t xml:space="preserve"> for year 2024</w:t>
      </w:r>
      <w:r w:rsidRPr="00ED2A36" w:rsidR="463BB9DA">
        <w:rPr>
          <w:rFonts w:ascii="Calibri" w:hAnsi="Calibri" w:cs="Calibri"/>
        </w:rPr>
        <w:t>. This table provides counts of housing units by structure type, which can be directly mapped to VisionEval categories. Single-family dwelling units (SFDU) are defined as structures with one unit, while multifamily dwelling units (MFDU) include all structures with two or more units (e.g., duplexes, apartments, large multifamily buildings</w:t>
      </w:r>
      <w:r w:rsidRPr="00ED2A36" w:rsidR="00800245">
        <w:rPr>
          <w:rFonts w:ascii="Calibri" w:hAnsi="Calibri" w:cs="Calibri"/>
        </w:rPr>
        <w:t xml:space="preserve">).  (For two categories of housing, assignment to multifamily or </w:t>
      </w:r>
      <w:r w:rsidRPr="00ED2A36" w:rsidR="00ED2A36">
        <w:rPr>
          <w:rFonts w:ascii="Calibri" w:hAnsi="Calibri" w:cs="Calibri"/>
        </w:rPr>
        <w:t>single</w:t>
      </w:r>
      <w:r w:rsidRPr="00ED2A36" w:rsidR="00800245">
        <w:rPr>
          <w:rFonts w:ascii="Calibri" w:hAnsi="Calibri" w:cs="Calibri"/>
        </w:rPr>
        <w:t xml:space="preserve"> family was not clear.  The research team assigned mobile homes to multifamily dwelling units given their closeness to each other but assigned “boat, RV, van, etc.” to single family dwelling units, thinking that these would tend to generate a larger number of trips comparable to single family dwelling units.</w:t>
      </w:r>
    </w:p>
    <w:p w:rsidRPr="00ED2A36" w:rsidR="00ED2A36" w:rsidP="00ED2A36" w:rsidRDefault="00ED2A36" w14:paraId="2D8C0BDC" w14:textId="77777777">
      <w:pPr>
        <w:pStyle w:val="ListParagraph"/>
        <w:spacing w:after="0" w:line="240" w:lineRule="auto"/>
        <w:rPr>
          <w:rFonts w:ascii="Calibri" w:hAnsi="Calibri" w:cs="Calibri"/>
        </w:rPr>
      </w:pPr>
    </w:p>
    <w:p w:rsidR="00800245" w:rsidP="00ED2A36" w:rsidRDefault="00ED2A36" w14:paraId="37B075B0" w14:textId="1E214B3C">
      <w:pPr>
        <w:pStyle w:val="ListParagraph"/>
        <w:numPr>
          <w:ilvl w:val="0"/>
          <w:numId w:val="9"/>
        </w:numPr>
        <w:spacing w:after="0" w:line="240" w:lineRule="auto"/>
        <w:rPr>
          <w:rFonts w:ascii="Calibri" w:hAnsi="Calibri" w:cs="Calibri"/>
        </w:rPr>
      </w:pPr>
      <w:r w:rsidRPr="00ED2A36">
        <w:rPr>
          <w:rFonts w:ascii="Calibri" w:hAnsi="Calibri" w:cs="Calibri"/>
        </w:rPr>
        <w:t>The second</w:t>
      </w:r>
      <w:r w:rsidRPr="00ED2A36" w:rsidR="00DD2973">
        <w:rPr>
          <w:rFonts w:ascii="Calibri" w:hAnsi="Calibri" w:cs="Calibri"/>
        </w:rPr>
        <w:t xml:space="preserve"> table was Table P5 from the 2020 decennial census.  This table gives the population in group quarters dwelling units that are not </w:t>
      </w:r>
      <w:proofErr w:type="gramStart"/>
      <w:r w:rsidRPr="00ED2A36">
        <w:rPr>
          <w:rFonts w:ascii="Calibri" w:hAnsi="Calibri" w:cs="Calibri"/>
        </w:rPr>
        <w:t>institutionalized</w:t>
      </w:r>
      <w:r w:rsidRPr="00ED2A36" w:rsidR="00DD2973">
        <w:rPr>
          <w:rFonts w:ascii="Calibri" w:hAnsi="Calibri" w:cs="Calibri"/>
        </w:rPr>
        <w:t>—that is</w:t>
      </w:r>
      <w:proofErr w:type="gramEnd"/>
      <w:r w:rsidRPr="00ED2A36" w:rsidR="00DD2973">
        <w:rPr>
          <w:rFonts w:ascii="Calibri" w:hAnsi="Calibri" w:cs="Calibri"/>
        </w:rPr>
        <w:t xml:space="preserve">, military barracks, dormitories, and others—but excluding skilled nursing facilities and prisons.  The </w:t>
      </w:r>
      <w:r w:rsidRPr="00ED2A36">
        <w:rPr>
          <w:rFonts w:ascii="Calibri" w:hAnsi="Calibri" w:cs="Calibri"/>
        </w:rPr>
        <w:t>research</w:t>
      </w:r>
      <w:r w:rsidRPr="00ED2A36" w:rsidR="00DD2973">
        <w:rPr>
          <w:rFonts w:ascii="Calibri" w:hAnsi="Calibri" w:cs="Calibri"/>
        </w:rPr>
        <w:t xml:space="preserve"> team could not identify a group quarters table from the 2024 ACS.</w:t>
      </w:r>
    </w:p>
    <w:p w:rsidRPr="00ED2A36" w:rsidR="00ED2A36" w:rsidP="00ED2A36" w:rsidRDefault="00ED2A36" w14:paraId="222B0E8F" w14:textId="77777777">
      <w:pPr>
        <w:pStyle w:val="ListParagraph"/>
        <w:spacing w:after="0" w:line="240" w:lineRule="auto"/>
        <w:rPr>
          <w:rFonts w:ascii="Calibri" w:hAnsi="Calibri" w:cs="Calibri"/>
        </w:rPr>
      </w:pPr>
    </w:p>
    <w:p w:rsidR="00DD2973" w:rsidP="00ED2A36" w:rsidRDefault="00ED2A36" w14:paraId="0182D0C9" w14:textId="2548FCAD">
      <w:pPr>
        <w:pStyle w:val="ListParagraph"/>
        <w:numPr>
          <w:ilvl w:val="0"/>
          <w:numId w:val="9"/>
        </w:numPr>
        <w:spacing w:after="0" w:line="240" w:lineRule="auto"/>
        <w:rPr>
          <w:rFonts w:ascii="Calibri" w:hAnsi="Calibri" w:cs="Calibri"/>
        </w:rPr>
      </w:pPr>
      <w:r w:rsidRPr="00ED2A36">
        <w:rPr>
          <w:rFonts w:ascii="Calibri" w:hAnsi="Calibri" w:cs="Calibri"/>
        </w:rPr>
        <w:t>The third</w:t>
      </w:r>
      <w:r w:rsidRPr="00ED2A36" w:rsidR="00DD2973">
        <w:rPr>
          <w:rFonts w:ascii="Calibri" w:hAnsi="Calibri" w:cs="Calibri"/>
        </w:rPr>
        <w:t xml:space="preserve"> table was Table B25024 for year 2020.</w:t>
      </w:r>
    </w:p>
    <w:p w:rsidRPr="00ED2A36" w:rsidR="00ED2A36" w:rsidP="00ED2A36" w:rsidRDefault="00ED2A36" w14:paraId="29574D2C" w14:textId="77777777">
      <w:pPr>
        <w:pStyle w:val="ListParagraph"/>
        <w:spacing w:after="0" w:line="240" w:lineRule="auto"/>
        <w:rPr>
          <w:rFonts w:ascii="Calibri" w:hAnsi="Calibri" w:cs="Calibri"/>
        </w:rPr>
      </w:pPr>
    </w:p>
    <w:p w:rsidR="00DD2973" w:rsidP="00ED2A36" w:rsidRDefault="00DD2973" w14:paraId="09FC46FC" w14:textId="335A5F0B">
      <w:pPr>
        <w:spacing w:after="0" w:line="240" w:lineRule="auto"/>
        <w:ind w:firstLine="360"/>
        <w:rPr>
          <w:rFonts w:ascii="Calibri" w:hAnsi="Calibri" w:cs="Calibri"/>
        </w:rPr>
      </w:pPr>
      <w:r w:rsidRPr="00ED2A36">
        <w:rPr>
          <w:rFonts w:ascii="Calibri" w:hAnsi="Calibri" w:cs="Calibri"/>
        </w:rPr>
        <w:t xml:space="preserve">Then, the 2024 group quarters units were determined by </w:t>
      </w:r>
      <w:r w:rsidRPr="00ED2A36" w:rsidR="00ED2A36">
        <w:rPr>
          <w:rFonts w:ascii="Calibri" w:hAnsi="Calibri" w:cs="Calibri"/>
        </w:rPr>
        <w:t>multiplying</w:t>
      </w:r>
      <w:r w:rsidRPr="00ED2A36">
        <w:rPr>
          <w:rFonts w:ascii="Calibri" w:hAnsi="Calibri" w:cs="Calibri"/>
        </w:rPr>
        <w:t xml:space="preserve"> the 2020 group quarters units by the ratio of 2024 single and </w:t>
      </w:r>
      <w:r w:rsidRPr="00ED2A36" w:rsidR="00ED2A36">
        <w:rPr>
          <w:rFonts w:ascii="Calibri" w:hAnsi="Calibri" w:cs="Calibri"/>
        </w:rPr>
        <w:t>multifamily</w:t>
      </w:r>
      <w:r w:rsidRPr="00ED2A36">
        <w:rPr>
          <w:rFonts w:ascii="Calibri" w:hAnsi="Calibri" w:cs="Calibri"/>
        </w:rPr>
        <w:t xml:space="preserve"> dwelling units to the 2020 single and multifamily dwelling units.  For example, for block group </w:t>
      </w:r>
      <w:r w:rsidRPr="00ED2A36" w:rsidR="00800446">
        <w:rPr>
          <w:rFonts w:ascii="Calibri" w:hAnsi="Calibri" w:cs="Calibri"/>
        </w:rPr>
        <w:t>510030106031</w:t>
      </w:r>
      <w:r w:rsidRPr="00ED2A36">
        <w:rPr>
          <w:rFonts w:ascii="Calibri" w:hAnsi="Calibri" w:cs="Calibri"/>
        </w:rPr>
        <w:t>, there were</w:t>
      </w:r>
      <w:r w:rsidRPr="00ED2A36" w:rsidR="00800446">
        <w:rPr>
          <w:rFonts w:ascii="Calibri" w:hAnsi="Calibri" w:cs="Calibri"/>
        </w:rPr>
        <w:t xml:space="preserve"> </w:t>
      </w:r>
      <w:r w:rsidRPr="00ED2A36" w:rsidR="00800446">
        <w:rPr>
          <w:rFonts w:ascii="Calibri" w:hAnsi="Calibri" w:cs="Calibri"/>
        </w:rPr>
        <w:t>363</w:t>
      </w:r>
      <w:r w:rsidRPr="00ED2A36" w:rsidR="00800446">
        <w:rPr>
          <w:rFonts w:ascii="Calibri" w:hAnsi="Calibri" w:cs="Calibri"/>
        </w:rPr>
        <w:tab/>
      </w:r>
      <w:r w:rsidRPr="00ED2A36" w:rsidR="00800446">
        <w:rPr>
          <w:rFonts w:ascii="Calibri" w:hAnsi="Calibri" w:cs="Calibri"/>
        </w:rPr>
        <w:t xml:space="preserve">single </w:t>
      </w:r>
      <w:proofErr w:type="gramStart"/>
      <w:r w:rsidRPr="00ED2A36" w:rsidR="00800446">
        <w:rPr>
          <w:rFonts w:ascii="Calibri" w:hAnsi="Calibri" w:cs="Calibri"/>
        </w:rPr>
        <w:t>family</w:t>
      </w:r>
      <w:proofErr w:type="gramEnd"/>
      <w:r w:rsidRPr="00ED2A36" w:rsidR="00800446">
        <w:rPr>
          <w:rFonts w:ascii="Calibri" w:hAnsi="Calibri" w:cs="Calibri"/>
        </w:rPr>
        <w:t xml:space="preserve"> and </w:t>
      </w:r>
      <w:r w:rsidRPr="00ED2A36" w:rsidR="00800446">
        <w:rPr>
          <w:rFonts w:ascii="Calibri" w:hAnsi="Calibri" w:cs="Calibri"/>
        </w:rPr>
        <w:t>754</w:t>
      </w:r>
      <w:r w:rsidRPr="00ED2A36">
        <w:rPr>
          <w:rFonts w:ascii="Calibri" w:hAnsi="Calibri" w:cs="Calibri"/>
        </w:rPr>
        <w:t xml:space="preserve"> </w:t>
      </w:r>
      <w:r w:rsidRPr="00ED2A36" w:rsidR="00800446">
        <w:rPr>
          <w:rFonts w:ascii="Calibri" w:hAnsi="Calibri" w:cs="Calibri"/>
        </w:rPr>
        <w:t>multifamily dwelling units in 2024, for a total of 1017 non-GQ dwelling units.  The 2020 data showed a smaller number of non-GQ dwelling units (942) and 60 GQ dwelling units.  Thus, the ratio of this change from 2024 to 2020 was applied to the 60 group quarters units in 2020 to estimate 71 group quarters dwelling units in 2024.</w:t>
      </w:r>
    </w:p>
    <w:p w:rsidRPr="00ED2A36" w:rsidR="00ED2A36" w:rsidP="00ED2A36" w:rsidRDefault="00ED2A36" w14:paraId="2B98A9AD" w14:textId="77777777">
      <w:pPr>
        <w:spacing w:after="0" w:line="240" w:lineRule="auto"/>
        <w:ind w:firstLine="360"/>
        <w:rPr>
          <w:rFonts w:ascii="Calibri" w:hAnsi="Calibri" w:cs="Calibri"/>
        </w:rPr>
      </w:pPr>
    </w:p>
    <w:p w:rsidRPr="00ED2A36" w:rsidR="00800446" w:rsidP="00ED2A36" w:rsidRDefault="00800446" w14:paraId="24BB5473" w14:textId="07577FE3">
      <w:pPr>
        <w:spacing w:after="0" w:line="240" w:lineRule="auto"/>
        <w:rPr>
          <w:rFonts w:ascii="Calibri" w:hAnsi="Calibri" w:cs="Calibri"/>
          <w:iCs/>
        </w:rPr>
      </w:pPr>
      <m:oMathPara>
        <m:oMath>
          <m:f>
            <m:fPr>
              <m:ctrlPr>
                <w:rPr>
                  <w:rFonts w:ascii="Cambria Math" w:hAnsi="Cambria Math" w:cs="Calibri"/>
                  <w:iCs/>
                </w:rPr>
              </m:ctrlPr>
            </m:fPr>
            <m:num>
              <m:r>
                <m:rPr>
                  <m:sty m:val="p"/>
                </m:rPr>
                <w:rPr>
                  <w:rFonts w:ascii="Cambria Math" w:hAnsi="Cambria Math" w:cs="Calibri"/>
                </w:rPr>
                <m:t>1017 SFDU and MFDU in 2024</m:t>
              </m:r>
            </m:num>
            <m:den>
              <m:r>
                <m:rPr>
                  <m:sty m:val="p"/>
                </m:rPr>
                <w:rPr>
                  <w:rFonts w:ascii="Cambria Math" w:hAnsi="Cambria Math" w:cs="Calibri"/>
                </w:rPr>
                <m:t>942 SFDU and MFDU in 2020</m:t>
              </m:r>
            </m:den>
          </m:f>
          <m:d>
            <m:dPr>
              <m:ctrlPr>
                <w:rPr>
                  <w:rFonts w:ascii="Cambria Math" w:hAnsi="Cambria Math" w:cs="Calibri"/>
                  <w:iCs/>
                </w:rPr>
              </m:ctrlPr>
            </m:dPr>
            <m:e>
              <m:r>
                <m:rPr>
                  <m:sty m:val="p"/>
                </m:rPr>
                <w:rPr>
                  <w:rFonts w:ascii="Cambria Math" w:hAnsi="Cambria Math" w:cs="Calibri"/>
                </w:rPr>
                <m:t>60 GQDU in 2020</m:t>
              </m:r>
            </m:e>
          </m:d>
          <m:r>
            <m:rPr>
              <m:sty m:val="p"/>
            </m:rPr>
            <w:rPr>
              <w:rFonts w:ascii="Cambria Math" w:hAnsi="Cambria Math" w:cs="Calibri"/>
            </w:rPr>
            <m:t>=71 GQDU in 2024</m:t>
          </m:r>
        </m:oMath>
      </m:oMathPara>
    </w:p>
    <w:p w:rsidRPr="00ED2A36" w:rsidR="00800446" w:rsidP="00ED2A36" w:rsidRDefault="00800446" w14:paraId="3985F3E3" w14:textId="77777777">
      <w:pPr>
        <w:spacing w:after="0" w:line="240" w:lineRule="auto"/>
        <w:rPr>
          <w:rFonts w:ascii="Calibri" w:hAnsi="Calibri" w:cs="Calibri"/>
        </w:rPr>
      </w:pPr>
    </w:p>
    <w:p w:rsidRPr="00ED2A36" w:rsidR="00D00040" w:rsidP="00ED2A36" w:rsidRDefault="00800446" w14:paraId="2F3E1F32" w14:textId="4193B112">
      <w:pPr>
        <w:spacing w:after="0" w:line="240" w:lineRule="auto"/>
        <w:rPr>
          <w:rFonts w:ascii="Calibri" w:hAnsi="Calibri" w:cs="Calibri"/>
          <w:i/>
          <w:iCs/>
        </w:rPr>
      </w:pPr>
      <w:r w:rsidRPr="00ED2A36">
        <w:rPr>
          <w:rFonts w:ascii="Calibri" w:hAnsi="Calibri" w:cs="Calibri"/>
          <w:i/>
          <w:iCs/>
        </w:rPr>
        <w:t>Forecast year</w:t>
      </w:r>
    </w:p>
    <w:p w:rsidRPr="00ED2A36" w:rsidR="001467F6" w:rsidP="00ED2A36" w:rsidRDefault="001467F6" w14:paraId="7E3AEDB9" w14:textId="77777777">
      <w:pPr>
        <w:pStyle w:val="PlainText"/>
        <w:rPr>
          <w:rFonts w:ascii="Calibri" w:hAnsi="Calibri" w:cs="Calibri"/>
          <w:sz w:val="24"/>
          <w:szCs w:val="24"/>
        </w:rPr>
      </w:pPr>
    </w:p>
    <w:p w:rsidRPr="00ED2A36" w:rsidR="00637F25" w:rsidP="00ED2A36" w:rsidRDefault="001467F6" w14:paraId="5EF32AE5" w14:textId="61A99ED6">
      <w:pPr>
        <w:pStyle w:val="PlainText"/>
        <w:rPr>
          <w:rFonts w:ascii="Calibri" w:hAnsi="Calibri" w:cs="Calibri"/>
          <w:sz w:val="24"/>
          <w:szCs w:val="24"/>
        </w:rPr>
      </w:pPr>
      <w:r w:rsidRPr="00ED2A36">
        <w:rPr>
          <w:rFonts w:ascii="Calibri" w:hAnsi="Calibri" w:cs="Calibri"/>
          <w:sz w:val="24"/>
          <w:szCs w:val="24"/>
        </w:rPr>
        <w:tab/>
      </w:r>
      <w:r w:rsidRPr="00ED2A36">
        <w:rPr>
          <w:rFonts w:ascii="Calibri" w:hAnsi="Calibri" w:cs="Calibri"/>
          <w:sz w:val="24"/>
          <w:szCs w:val="24"/>
        </w:rPr>
        <w:t xml:space="preserve">Data </w:t>
      </w:r>
      <w:proofErr w:type="gramStart"/>
      <w:r w:rsidRPr="00ED2A36">
        <w:rPr>
          <w:rFonts w:ascii="Calibri" w:hAnsi="Calibri" w:cs="Calibri"/>
          <w:sz w:val="24"/>
          <w:szCs w:val="24"/>
        </w:rPr>
        <w:t>were</w:t>
      </w:r>
      <w:proofErr w:type="gramEnd"/>
      <w:r w:rsidRPr="00ED2A36">
        <w:rPr>
          <w:rFonts w:ascii="Calibri" w:hAnsi="Calibri" w:cs="Calibri"/>
          <w:sz w:val="24"/>
          <w:szCs w:val="24"/>
        </w:rPr>
        <w:t xml:space="preserve"> acquired from Woods</w:t>
      </w:r>
      <w:r w:rsidRPr="00ED2A36" w:rsidR="00637F25">
        <w:rPr>
          <w:rFonts w:ascii="Calibri" w:hAnsi="Calibri" w:cs="Calibri"/>
          <w:sz w:val="24"/>
          <w:szCs w:val="24"/>
        </w:rPr>
        <w:t xml:space="preserve"> </w:t>
      </w:r>
      <w:r w:rsidRPr="00ED2A36">
        <w:rPr>
          <w:rFonts w:ascii="Calibri" w:hAnsi="Calibri" w:cs="Calibri"/>
          <w:sz w:val="24"/>
          <w:szCs w:val="24"/>
        </w:rPr>
        <w:t>&amp;</w:t>
      </w:r>
      <w:r w:rsidRPr="00ED2A36" w:rsidR="00637F25">
        <w:rPr>
          <w:rFonts w:ascii="Calibri" w:hAnsi="Calibri" w:cs="Calibri"/>
          <w:sz w:val="24"/>
          <w:szCs w:val="24"/>
        </w:rPr>
        <w:t xml:space="preserve"> </w:t>
      </w:r>
      <w:r w:rsidRPr="00ED2A36">
        <w:rPr>
          <w:rFonts w:ascii="Calibri" w:hAnsi="Calibri" w:cs="Calibri"/>
          <w:sz w:val="24"/>
          <w:szCs w:val="24"/>
        </w:rPr>
        <w:t xml:space="preserve">Poole (2024) which give changes in total </w:t>
      </w:r>
      <w:r w:rsidRPr="00ED2A36" w:rsidR="00637F25">
        <w:rPr>
          <w:rFonts w:ascii="Calibri" w:hAnsi="Calibri" w:cs="Calibri"/>
          <w:sz w:val="24"/>
          <w:szCs w:val="24"/>
        </w:rPr>
        <w:t>households</w:t>
      </w:r>
      <w:r w:rsidRPr="00ED2A36">
        <w:rPr>
          <w:rFonts w:ascii="Calibri" w:hAnsi="Calibri" w:cs="Calibri"/>
          <w:sz w:val="24"/>
          <w:szCs w:val="24"/>
        </w:rPr>
        <w:t xml:space="preserve"> for 2045 by Azone (city and county).  The change from 2024 to 2025 for this value was applied to the 2024 data.</w:t>
      </w:r>
      <w:r w:rsidRPr="00ED2A36" w:rsidR="00637F25">
        <w:rPr>
          <w:rFonts w:ascii="Calibri" w:hAnsi="Calibri" w:cs="Calibri"/>
          <w:sz w:val="24"/>
          <w:szCs w:val="24"/>
        </w:rPr>
        <w:t xml:space="preserve">  (</w:t>
      </w:r>
      <w:r w:rsidRPr="00ED2A36" w:rsidR="00637F25">
        <w:rPr>
          <w:rFonts w:ascii="Calibri" w:hAnsi="Calibri" w:cs="Calibri"/>
          <w:sz w:val="24"/>
          <w:szCs w:val="24"/>
        </w:rPr>
        <w:t>Note that in some cases, Woods &amp; Poole aggregates a city and county; for example, Charlottesville City (FIPS code 51540) and Albemarle County (FIPS code 51003) are the same Woods &amp; Poole are (51901)</w:t>
      </w:r>
      <w:r w:rsidRPr="00ED2A36" w:rsidR="00637F25">
        <w:rPr>
          <w:rFonts w:ascii="Calibri" w:hAnsi="Calibri" w:cs="Calibri"/>
          <w:sz w:val="24"/>
          <w:szCs w:val="24"/>
        </w:rPr>
        <w:t>.</w:t>
      </w:r>
    </w:p>
    <w:p w:rsidRPr="00ED2A36" w:rsidR="00637F25" w:rsidP="00ED2A36" w:rsidRDefault="00637F25" w14:paraId="3EED3357" w14:textId="77777777">
      <w:pPr>
        <w:pStyle w:val="PlainText"/>
        <w:rPr>
          <w:rFonts w:ascii="Calibri" w:hAnsi="Calibri" w:cs="Calibri"/>
          <w:sz w:val="24"/>
          <w:szCs w:val="24"/>
        </w:rPr>
      </w:pPr>
    </w:p>
    <w:p w:rsidRPr="00ED2A36" w:rsidR="001467F6" w:rsidP="00ED2A36" w:rsidRDefault="001467F6" w14:paraId="05553966" w14:textId="7D26E3FD">
      <w:pPr>
        <w:pStyle w:val="PlainText"/>
        <w:rPr>
          <w:rFonts w:ascii="Calibri" w:hAnsi="Calibri" w:cs="Calibri"/>
          <w:sz w:val="24"/>
          <w:szCs w:val="24"/>
        </w:rPr>
      </w:pPr>
      <w:r w:rsidRPr="00ED2A36">
        <w:rPr>
          <w:rFonts w:ascii="Calibri" w:hAnsi="Calibri" w:cs="Calibri"/>
          <w:sz w:val="24"/>
          <w:szCs w:val="24"/>
        </w:rPr>
        <w:t xml:space="preserve"> </w:t>
      </w:r>
      <w:r w:rsidRPr="00ED2A36" w:rsidR="00030AB7">
        <w:rPr>
          <w:rFonts w:ascii="Calibri" w:hAnsi="Calibri" w:cs="Calibri"/>
          <w:sz w:val="24"/>
          <w:szCs w:val="24"/>
        </w:rPr>
        <w:tab/>
      </w:r>
      <w:r w:rsidRPr="00ED2A36">
        <w:rPr>
          <w:rFonts w:ascii="Calibri" w:hAnsi="Calibri" w:cs="Calibri"/>
          <w:sz w:val="24"/>
          <w:szCs w:val="24"/>
        </w:rPr>
        <w:t xml:space="preserve">For example, </w:t>
      </w:r>
      <w:r w:rsidRPr="00ED2A36" w:rsidR="00637F25">
        <w:rPr>
          <w:rFonts w:ascii="Calibri" w:hAnsi="Calibri" w:cs="Calibri"/>
          <w:sz w:val="24"/>
          <w:szCs w:val="24"/>
        </w:rPr>
        <w:t xml:space="preserve">bzone </w:t>
      </w:r>
      <w:r w:rsidRPr="00ED2A36" w:rsidR="00637F25">
        <w:rPr>
          <w:rFonts w:ascii="Calibri" w:hAnsi="Calibri" w:cs="Calibri"/>
          <w:sz w:val="24"/>
          <w:szCs w:val="24"/>
        </w:rPr>
        <w:t>510030106031</w:t>
      </w:r>
      <w:r w:rsidRPr="00ED2A36" w:rsidR="00637F25">
        <w:rPr>
          <w:rFonts w:ascii="Calibri" w:hAnsi="Calibri" w:cs="Calibri"/>
          <w:sz w:val="24"/>
          <w:szCs w:val="24"/>
        </w:rPr>
        <w:t xml:space="preserve"> </w:t>
      </w:r>
      <w:proofErr w:type="gramStart"/>
      <w:r w:rsidRPr="00ED2A36" w:rsidR="00637F25">
        <w:rPr>
          <w:rFonts w:ascii="Calibri" w:hAnsi="Calibri" w:cs="Calibri"/>
          <w:sz w:val="24"/>
          <w:szCs w:val="24"/>
        </w:rPr>
        <w:t>is located in</w:t>
      </w:r>
      <w:proofErr w:type="gramEnd"/>
      <w:r w:rsidRPr="00ED2A36" w:rsidR="00637F25">
        <w:rPr>
          <w:rFonts w:ascii="Calibri" w:hAnsi="Calibri" w:cs="Calibri"/>
          <w:sz w:val="24"/>
          <w:szCs w:val="24"/>
        </w:rPr>
        <w:t xml:space="preserve"> Albemarle County.  Woods &amp; Poole (2024) reports that the number of households in the combined area of Charlottesville and Albemarle County is forecast to grow from </w:t>
      </w:r>
      <w:r w:rsidRPr="00ED2A36" w:rsidR="00637F25">
        <w:rPr>
          <w:rFonts w:ascii="Calibri" w:hAnsi="Calibri" w:cs="Calibri"/>
          <w:sz w:val="24"/>
          <w:szCs w:val="24"/>
        </w:rPr>
        <w:t>66</w:t>
      </w:r>
      <w:r w:rsidRPr="00ED2A36" w:rsidR="00637F25">
        <w:rPr>
          <w:rFonts w:ascii="Calibri" w:hAnsi="Calibri" w:cs="Calibri"/>
          <w:sz w:val="24"/>
          <w:szCs w:val="24"/>
        </w:rPr>
        <w:t>,</w:t>
      </w:r>
      <w:r w:rsidRPr="00ED2A36" w:rsidR="00637F25">
        <w:rPr>
          <w:rFonts w:ascii="Calibri" w:hAnsi="Calibri" w:cs="Calibri"/>
          <w:sz w:val="24"/>
          <w:szCs w:val="24"/>
        </w:rPr>
        <w:t>064</w:t>
      </w:r>
      <w:r w:rsidRPr="00ED2A36" w:rsidR="00637F25">
        <w:rPr>
          <w:rFonts w:ascii="Calibri" w:hAnsi="Calibri" w:cs="Calibri"/>
          <w:sz w:val="24"/>
          <w:szCs w:val="24"/>
        </w:rPr>
        <w:t xml:space="preserve"> in 2024 to </w:t>
      </w:r>
      <w:r w:rsidRPr="00ED2A36" w:rsidR="00637F25">
        <w:rPr>
          <w:rFonts w:ascii="Calibri" w:hAnsi="Calibri" w:cs="Calibri"/>
          <w:sz w:val="24"/>
          <w:szCs w:val="24"/>
        </w:rPr>
        <w:t>78</w:t>
      </w:r>
      <w:r w:rsidRPr="00ED2A36" w:rsidR="00637F25">
        <w:rPr>
          <w:rFonts w:ascii="Calibri" w:hAnsi="Calibri" w:cs="Calibri"/>
          <w:sz w:val="24"/>
          <w:szCs w:val="24"/>
        </w:rPr>
        <w:t>,</w:t>
      </w:r>
      <w:r w:rsidRPr="00ED2A36" w:rsidR="00637F25">
        <w:rPr>
          <w:rFonts w:ascii="Calibri" w:hAnsi="Calibri" w:cs="Calibri"/>
          <w:sz w:val="24"/>
          <w:szCs w:val="24"/>
        </w:rPr>
        <w:t>497</w:t>
      </w:r>
      <w:r w:rsidRPr="00ED2A36" w:rsidR="00637F25">
        <w:rPr>
          <w:rFonts w:ascii="Calibri" w:hAnsi="Calibri" w:cs="Calibri"/>
          <w:sz w:val="24"/>
          <w:szCs w:val="24"/>
        </w:rPr>
        <w:t xml:space="preserve"> in 2045.  This rate of increase (18.82%) was applied to the 2024 data to give the 2045 values shown below.</w:t>
      </w:r>
    </w:p>
    <w:p w:rsidRPr="00ED2A36" w:rsidR="00637F25" w:rsidP="00ED2A36" w:rsidRDefault="00637F25" w14:paraId="40AA6C00" w14:textId="77777777">
      <w:pPr>
        <w:pStyle w:val="PlainText"/>
        <w:rPr>
          <w:rFonts w:ascii="Calibri" w:hAnsi="Calibri" w:cs="Calibri"/>
          <w:sz w:val="24"/>
          <w:szCs w:val="24"/>
        </w:rPr>
      </w:pPr>
    </w:p>
    <w:tbl>
      <w:tblPr>
        <w:tblW w:w="3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60"/>
        <w:gridCol w:w="960"/>
        <w:gridCol w:w="960"/>
        <w:gridCol w:w="960"/>
      </w:tblGrid>
      <w:tr w:rsidRPr="00637F25" w:rsidR="00637F25" w:rsidTr="00637F25" w14:paraId="48EF20E3" w14:textId="77777777">
        <w:trPr>
          <w:trHeight w:val="300"/>
        </w:trPr>
        <w:tc>
          <w:tcPr>
            <w:tcW w:w="960" w:type="dxa"/>
            <w:noWrap/>
            <w:vAlign w:val="bottom"/>
            <w:hideMark/>
          </w:tcPr>
          <w:p w:rsidRPr="00637F25" w:rsidR="00637F25" w:rsidP="00ED2A36" w:rsidRDefault="00637F25" w14:paraId="3F7BFBFC" w14:textId="77777777">
            <w:pPr>
              <w:spacing w:after="0" w:line="240" w:lineRule="auto"/>
              <w:rPr>
                <w:rFonts w:ascii="Calibri" w:hAnsi="Calibri" w:eastAsia="Times New Roman" w:cs="Calibri"/>
                <w:color w:val="000000"/>
                <w:lang w:eastAsia="en-US"/>
              </w:rPr>
            </w:pPr>
            <w:r w:rsidRPr="00637F25">
              <w:rPr>
                <w:rFonts w:ascii="Calibri" w:hAnsi="Calibri" w:eastAsia="Times New Roman" w:cs="Calibri"/>
                <w:color w:val="000000"/>
                <w:lang w:eastAsia="en-US"/>
              </w:rPr>
              <w:t>Year</w:t>
            </w:r>
          </w:p>
        </w:tc>
        <w:tc>
          <w:tcPr>
            <w:tcW w:w="960" w:type="dxa"/>
            <w:noWrap/>
            <w:vAlign w:val="bottom"/>
            <w:hideMark/>
          </w:tcPr>
          <w:p w:rsidRPr="00637F25" w:rsidR="00637F25" w:rsidP="00ED2A36" w:rsidRDefault="00637F25" w14:paraId="127EC053" w14:textId="77777777">
            <w:pPr>
              <w:spacing w:after="0" w:line="240" w:lineRule="auto"/>
              <w:rPr>
                <w:rFonts w:ascii="Calibri" w:hAnsi="Calibri" w:eastAsia="Times New Roman" w:cs="Calibri"/>
                <w:color w:val="000000"/>
                <w:lang w:eastAsia="en-US"/>
              </w:rPr>
            </w:pPr>
            <w:r w:rsidRPr="00637F25">
              <w:rPr>
                <w:rFonts w:ascii="Calibri" w:hAnsi="Calibri" w:eastAsia="Times New Roman" w:cs="Calibri"/>
                <w:color w:val="000000"/>
                <w:lang w:eastAsia="en-US"/>
              </w:rPr>
              <w:t>SFDU</w:t>
            </w:r>
          </w:p>
        </w:tc>
        <w:tc>
          <w:tcPr>
            <w:tcW w:w="960" w:type="dxa"/>
            <w:noWrap/>
            <w:vAlign w:val="bottom"/>
            <w:hideMark/>
          </w:tcPr>
          <w:p w:rsidRPr="00637F25" w:rsidR="00637F25" w:rsidP="00ED2A36" w:rsidRDefault="00637F25" w14:paraId="23A4F876" w14:textId="77777777">
            <w:pPr>
              <w:spacing w:after="0" w:line="240" w:lineRule="auto"/>
              <w:rPr>
                <w:rFonts w:ascii="Calibri" w:hAnsi="Calibri" w:eastAsia="Times New Roman" w:cs="Calibri"/>
                <w:color w:val="000000"/>
                <w:lang w:eastAsia="en-US"/>
              </w:rPr>
            </w:pPr>
            <w:r w:rsidRPr="00637F25">
              <w:rPr>
                <w:rFonts w:ascii="Calibri" w:hAnsi="Calibri" w:eastAsia="Times New Roman" w:cs="Calibri"/>
                <w:color w:val="000000"/>
                <w:lang w:eastAsia="en-US"/>
              </w:rPr>
              <w:t>MFDU</w:t>
            </w:r>
          </w:p>
        </w:tc>
        <w:tc>
          <w:tcPr>
            <w:tcW w:w="960" w:type="dxa"/>
            <w:noWrap/>
            <w:vAlign w:val="bottom"/>
            <w:hideMark/>
          </w:tcPr>
          <w:p w:rsidRPr="00637F25" w:rsidR="00637F25" w:rsidP="00ED2A36" w:rsidRDefault="00637F25" w14:paraId="0ADC8536" w14:textId="77777777">
            <w:pPr>
              <w:spacing w:after="0" w:line="240" w:lineRule="auto"/>
              <w:rPr>
                <w:rFonts w:ascii="Calibri" w:hAnsi="Calibri" w:eastAsia="Times New Roman" w:cs="Calibri"/>
                <w:color w:val="000000"/>
                <w:lang w:eastAsia="en-US"/>
              </w:rPr>
            </w:pPr>
            <w:r w:rsidRPr="00637F25">
              <w:rPr>
                <w:rFonts w:ascii="Calibri" w:hAnsi="Calibri" w:eastAsia="Times New Roman" w:cs="Calibri"/>
                <w:color w:val="000000"/>
                <w:lang w:eastAsia="en-US"/>
              </w:rPr>
              <w:t>GQDU</w:t>
            </w:r>
          </w:p>
        </w:tc>
      </w:tr>
      <w:tr w:rsidRPr="00ED2A36" w:rsidR="00637F25" w:rsidTr="00637F25" w14:paraId="2E0E4588" w14:textId="77777777">
        <w:trPr>
          <w:trHeight w:val="300"/>
        </w:trPr>
        <w:tc>
          <w:tcPr>
            <w:tcW w:w="960" w:type="dxa"/>
            <w:noWrap/>
            <w:vAlign w:val="bottom"/>
          </w:tcPr>
          <w:p w:rsidRPr="00ED2A36" w:rsidR="00637F25" w:rsidP="00ED2A36" w:rsidRDefault="00637F25" w14:paraId="70B1E05C" w14:textId="674CE4B7">
            <w:pPr>
              <w:spacing w:after="0" w:line="240" w:lineRule="auto"/>
              <w:rPr>
                <w:rFonts w:ascii="Calibri" w:hAnsi="Calibri" w:eastAsia="Times New Roman" w:cs="Calibri"/>
                <w:color w:val="000000"/>
                <w:lang w:eastAsia="en-US"/>
              </w:rPr>
            </w:pPr>
            <w:r w:rsidRPr="00ED2A36">
              <w:rPr>
                <w:rFonts w:ascii="Calibri" w:hAnsi="Calibri" w:eastAsia="Times New Roman" w:cs="Calibri"/>
                <w:color w:val="000000"/>
                <w:lang w:eastAsia="en-US"/>
              </w:rPr>
              <w:t>2024</w:t>
            </w:r>
          </w:p>
        </w:tc>
        <w:tc>
          <w:tcPr>
            <w:tcW w:w="960" w:type="dxa"/>
            <w:noWrap/>
            <w:vAlign w:val="bottom"/>
          </w:tcPr>
          <w:p w:rsidRPr="00ED2A36" w:rsidR="00637F25" w:rsidP="00ED2A36" w:rsidRDefault="00637F25" w14:paraId="72F92D4B" w14:textId="0D8D1F30">
            <w:pPr>
              <w:spacing w:after="0" w:line="240" w:lineRule="auto"/>
              <w:rPr>
                <w:rFonts w:ascii="Calibri" w:hAnsi="Calibri" w:eastAsia="Times New Roman" w:cs="Calibri"/>
                <w:color w:val="000000"/>
                <w:lang w:eastAsia="en-US"/>
              </w:rPr>
            </w:pPr>
            <w:r w:rsidRPr="00ED2A36">
              <w:rPr>
                <w:rFonts w:ascii="Calibri" w:hAnsi="Calibri" w:cs="Calibri"/>
                <w:color w:val="000000"/>
              </w:rPr>
              <w:t>363</w:t>
            </w:r>
          </w:p>
        </w:tc>
        <w:tc>
          <w:tcPr>
            <w:tcW w:w="960" w:type="dxa"/>
            <w:noWrap/>
            <w:vAlign w:val="bottom"/>
          </w:tcPr>
          <w:p w:rsidRPr="00ED2A36" w:rsidR="00637F25" w:rsidP="00ED2A36" w:rsidRDefault="00637F25" w14:paraId="5C4B8A75" w14:textId="79F2359F">
            <w:pPr>
              <w:spacing w:after="0" w:line="240" w:lineRule="auto"/>
              <w:rPr>
                <w:rFonts w:ascii="Calibri" w:hAnsi="Calibri" w:eastAsia="Times New Roman" w:cs="Calibri"/>
                <w:color w:val="000000"/>
                <w:lang w:eastAsia="en-US"/>
              </w:rPr>
            </w:pPr>
            <w:r w:rsidRPr="00ED2A36">
              <w:rPr>
                <w:rFonts w:ascii="Calibri" w:hAnsi="Calibri" w:cs="Calibri"/>
                <w:color w:val="000000"/>
              </w:rPr>
              <w:t>754</w:t>
            </w:r>
          </w:p>
        </w:tc>
        <w:tc>
          <w:tcPr>
            <w:tcW w:w="960" w:type="dxa"/>
            <w:noWrap/>
            <w:vAlign w:val="bottom"/>
          </w:tcPr>
          <w:p w:rsidRPr="00ED2A36" w:rsidR="00637F25" w:rsidP="00ED2A36" w:rsidRDefault="00637F25" w14:paraId="590BA037" w14:textId="5C001603">
            <w:pPr>
              <w:spacing w:after="0" w:line="240" w:lineRule="auto"/>
              <w:rPr>
                <w:rFonts w:ascii="Calibri" w:hAnsi="Calibri" w:eastAsia="Times New Roman" w:cs="Calibri"/>
                <w:color w:val="000000"/>
                <w:lang w:eastAsia="en-US"/>
              </w:rPr>
            </w:pPr>
            <w:r w:rsidRPr="00ED2A36">
              <w:rPr>
                <w:rFonts w:ascii="Calibri" w:hAnsi="Calibri" w:cs="Calibri"/>
                <w:color w:val="000000"/>
              </w:rPr>
              <w:t>71</w:t>
            </w:r>
          </w:p>
        </w:tc>
      </w:tr>
      <w:tr w:rsidRPr="00ED2A36" w:rsidR="00637F25" w:rsidTr="00637F25" w14:paraId="1967EE90" w14:textId="77777777">
        <w:trPr>
          <w:trHeight w:val="300"/>
        </w:trPr>
        <w:tc>
          <w:tcPr>
            <w:tcW w:w="960" w:type="dxa"/>
            <w:noWrap/>
            <w:vAlign w:val="bottom"/>
          </w:tcPr>
          <w:p w:rsidRPr="00ED2A36" w:rsidR="00637F25" w:rsidP="00ED2A36" w:rsidRDefault="00637F25" w14:paraId="53DD2D9B" w14:textId="228CE910">
            <w:pPr>
              <w:spacing w:after="0" w:line="240" w:lineRule="auto"/>
              <w:rPr>
                <w:rFonts w:ascii="Calibri" w:hAnsi="Calibri" w:eastAsia="Times New Roman" w:cs="Calibri"/>
                <w:color w:val="000000"/>
                <w:lang w:eastAsia="en-US"/>
              </w:rPr>
            </w:pPr>
            <w:r w:rsidRPr="00ED2A36">
              <w:rPr>
                <w:rFonts w:ascii="Calibri" w:hAnsi="Calibri" w:eastAsia="Times New Roman" w:cs="Calibri"/>
                <w:color w:val="000000"/>
                <w:lang w:eastAsia="en-US"/>
              </w:rPr>
              <w:t>2045</w:t>
            </w:r>
          </w:p>
        </w:tc>
        <w:tc>
          <w:tcPr>
            <w:tcW w:w="960" w:type="dxa"/>
            <w:noWrap/>
            <w:vAlign w:val="bottom"/>
          </w:tcPr>
          <w:p w:rsidRPr="00ED2A36" w:rsidR="00637F25" w:rsidP="00ED2A36" w:rsidRDefault="00637F25" w14:paraId="672B6D98" w14:textId="5578C872">
            <w:pPr>
              <w:spacing w:after="0" w:line="240" w:lineRule="auto"/>
              <w:rPr>
                <w:rFonts w:ascii="Calibri" w:hAnsi="Calibri" w:cs="Calibri"/>
                <w:color w:val="000000"/>
              </w:rPr>
            </w:pPr>
            <w:r w:rsidRPr="00ED2A36">
              <w:rPr>
                <w:rFonts w:ascii="Calibri" w:hAnsi="Calibri" w:cs="Calibri"/>
                <w:color w:val="000000"/>
              </w:rPr>
              <w:t>431</w:t>
            </w:r>
          </w:p>
        </w:tc>
        <w:tc>
          <w:tcPr>
            <w:tcW w:w="960" w:type="dxa"/>
            <w:noWrap/>
            <w:vAlign w:val="bottom"/>
          </w:tcPr>
          <w:p w:rsidRPr="00ED2A36" w:rsidR="00637F25" w:rsidP="00ED2A36" w:rsidRDefault="00637F25" w14:paraId="08185BB4" w14:textId="15AEB17B">
            <w:pPr>
              <w:spacing w:after="0" w:line="240" w:lineRule="auto"/>
              <w:rPr>
                <w:rFonts w:ascii="Calibri" w:hAnsi="Calibri" w:cs="Calibri"/>
                <w:color w:val="000000"/>
              </w:rPr>
            </w:pPr>
            <w:r w:rsidRPr="00ED2A36">
              <w:rPr>
                <w:rFonts w:ascii="Calibri" w:hAnsi="Calibri" w:cs="Calibri"/>
                <w:color w:val="000000"/>
              </w:rPr>
              <w:t>896</w:t>
            </w:r>
          </w:p>
        </w:tc>
        <w:tc>
          <w:tcPr>
            <w:tcW w:w="960" w:type="dxa"/>
            <w:noWrap/>
            <w:vAlign w:val="bottom"/>
          </w:tcPr>
          <w:p w:rsidRPr="00ED2A36" w:rsidR="00637F25" w:rsidP="00ED2A36" w:rsidRDefault="00637F25" w14:paraId="2982C90E" w14:textId="69DB7D05">
            <w:pPr>
              <w:spacing w:after="0" w:line="240" w:lineRule="auto"/>
              <w:rPr>
                <w:rFonts w:ascii="Calibri" w:hAnsi="Calibri" w:cs="Calibri"/>
                <w:color w:val="000000"/>
              </w:rPr>
            </w:pPr>
            <w:r w:rsidRPr="00ED2A36">
              <w:rPr>
                <w:rFonts w:ascii="Calibri" w:hAnsi="Calibri" w:cs="Calibri"/>
                <w:color w:val="000000"/>
              </w:rPr>
              <w:t>84</w:t>
            </w:r>
          </w:p>
        </w:tc>
      </w:tr>
    </w:tbl>
    <w:p w:rsidRPr="00ED2A36" w:rsidR="00637F25" w:rsidP="00ED2A36" w:rsidRDefault="00637F25" w14:paraId="0C9F1D86" w14:textId="77777777">
      <w:pPr>
        <w:pStyle w:val="PlainText"/>
        <w:rPr>
          <w:rFonts w:ascii="Calibri" w:hAnsi="Calibri" w:cs="Calibri"/>
          <w:sz w:val="24"/>
          <w:szCs w:val="24"/>
        </w:rPr>
      </w:pPr>
    </w:p>
    <w:p w:rsidRPr="00ED2A36" w:rsidR="001467F6" w:rsidP="00ED2A36" w:rsidRDefault="001467F6" w14:paraId="74A097A1" w14:textId="77777777">
      <w:pPr>
        <w:pStyle w:val="PlainText"/>
        <w:rPr>
          <w:rFonts w:ascii="Calibri" w:hAnsi="Calibri" w:cs="Calibri"/>
          <w:sz w:val="24"/>
          <w:szCs w:val="24"/>
        </w:rPr>
      </w:pPr>
    </w:p>
    <w:p w:rsidRPr="00ED2A36" w:rsidR="001467F6" w:rsidP="00ED2A36" w:rsidRDefault="00ED2A36" w14:paraId="44B369F2" w14:textId="094B6FB7">
      <w:pPr>
        <w:pStyle w:val="PlainText"/>
        <w:rPr>
          <w:rFonts w:ascii="Calibri" w:hAnsi="Calibri" w:cs="Calibri"/>
          <w:b/>
          <w:bCs/>
          <w:sz w:val="24"/>
          <w:szCs w:val="24"/>
        </w:rPr>
      </w:pPr>
      <w:r w:rsidRPr="00ED2A36">
        <w:rPr>
          <w:rFonts w:ascii="Calibri" w:hAnsi="Calibri" w:cs="Calibri"/>
          <w:b/>
          <w:bCs/>
          <w:sz w:val="24"/>
          <w:szCs w:val="24"/>
        </w:rPr>
        <w:t>Reference</w:t>
      </w:r>
    </w:p>
    <w:p w:rsidRPr="00ED2A36" w:rsidR="001467F6" w:rsidP="00ED2A36" w:rsidRDefault="001467F6" w14:paraId="4F6EE435" w14:textId="77777777">
      <w:pPr>
        <w:pStyle w:val="PlainText"/>
        <w:rPr>
          <w:rFonts w:ascii="Calibri" w:hAnsi="Calibri" w:cs="Calibri"/>
          <w:sz w:val="24"/>
          <w:szCs w:val="24"/>
        </w:rPr>
      </w:pPr>
    </w:p>
    <w:p w:rsidRPr="00ED2A36" w:rsidR="001467F6" w:rsidP="00ED2A36" w:rsidRDefault="001467F6" w14:paraId="2903ADA7" w14:textId="77777777">
      <w:pPr>
        <w:pStyle w:val="PlainText"/>
        <w:rPr>
          <w:rFonts w:ascii="Calibri" w:hAnsi="Calibri" w:cs="Calibri"/>
          <w:sz w:val="24"/>
          <w:szCs w:val="24"/>
        </w:rPr>
      </w:pPr>
      <w:r w:rsidRPr="00ED2A36">
        <w:rPr>
          <w:rFonts w:ascii="Calibri" w:hAnsi="Calibri" w:cs="Calibri"/>
          <w:sz w:val="24"/>
          <w:szCs w:val="24"/>
        </w:rPr>
        <w:t>Woods &amp; Poole, Inc. Technical Description of the Woods &amp; Poole Economics, Inc. 2024 Regional Projections and Database, Washington, D.C., 2024.</w:t>
      </w:r>
    </w:p>
    <w:p w:rsidRPr="00ED2A36" w:rsidR="001467F6" w:rsidP="00ED2A36" w:rsidRDefault="001467F6" w14:paraId="7A8AA57B" w14:textId="77777777">
      <w:pPr>
        <w:spacing w:after="0" w:line="240" w:lineRule="auto"/>
        <w:rPr>
          <w:rFonts w:ascii="Calibri" w:hAnsi="Calibri" w:cs="Calibri"/>
          <w:i/>
          <w:iCs/>
        </w:rPr>
      </w:pPr>
    </w:p>
    <w:p w:rsidR="00D00040" w:rsidP="00ED2A36" w:rsidRDefault="00ED2A36" w14:paraId="4A6DCFBA" w14:textId="1A4B62A0">
      <w:pPr>
        <w:pStyle w:val="Heading2"/>
        <w:spacing w:before="0" w:after="0" w:line="240" w:lineRule="auto"/>
        <w:rPr>
          <w:rFonts w:ascii="Calibri" w:hAnsi="Calibri" w:cs="Calibri" w:eastAsiaTheme="minorEastAsia"/>
          <w:b/>
          <w:bCs/>
          <w:color w:val="auto"/>
          <w:sz w:val="24"/>
          <w:szCs w:val="24"/>
        </w:rPr>
      </w:pPr>
      <w:r>
        <w:rPr>
          <w:rFonts w:ascii="Calibri" w:hAnsi="Calibri" w:cs="Calibri" w:eastAsiaTheme="minorEastAsia"/>
          <w:b/>
          <w:bCs/>
          <w:color w:val="auto"/>
          <w:sz w:val="24"/>
          <w:szCs w:val="24"/>
        </w:rPr>
        <w:t>Appendix—Other Notes</w:t>
      </w:r>
    </w:p>
    <w:p w:rsidRPr="00ED2A36" w:rsidR="00ED2A36" w:rsidP="00ED2A36" w:rsidRDefault="00ED2A36" w14:paraId="55E21745" w14:textId="77777777">
      <w:pPr>
        <w:spacing w:after="0" w:line="240" w:lineRule="auto"/>
      </w:pPr>
    </w:p>
    <w:p w:rsidRPr="00ED2A36" w:rsidR="00D00040" w:rsidP="00ED2A36" w:rsidRDefault="40008D48" w14:paraId="5DEEA8A9" w14:textId="0096C22A">
      <w:pPr>
        <w:spacing w:after="0" w:line="240" w:lineRule="auto"/>
        <w:rPr>
          <w:rFonts w:ascii="Calibri" w:hAnsi="Calibri" w:cs="Calibri"/>
        </w:rPr>
      </w:pPr>
      <w:r w:rsidRPr="00ED2A36">
        <w:rPr>
          <w:rFonts w:ascii="Calibri" w:hAnsi="Calibri" w:cs="Calibri"/>
        </w:rPr>
        <w:t xml:space="preserve">The resulting file contains one row per Bzone for each modeled year. These values are used by VisionEval </w:t>
      </w:r>
      <w:proofErr w:type="gramStart"/>
      <w:r w:rsidRPr="00ED2A36">
        <w:rPr>
          <w:rFonts w:ascii="Calibri" w:hAnsi="Calibri" w:cs="Calibri"/>
        </w:rPr>
        <w:t>to</w:t>
      </w:r>
      <w:proofErr w:type="gramEnd"/>
      <w:r w:rsidRPr="00ED2A36">
        <w:rPr>
          <w:rFonts w:ascii="Calibri" w:hAnsi="Calibri" w:cs="Calibri"/>
        </w:rPr>
        <w:t>:</w:t>
      </w:r>
    </w:p>
    <w:p w:rsidRPr="00ED2A36" w:rsidR="00D00040" w:rsidP="00ED2A36" w:rsidRDefault="40008D48" w14:paraId="3417C42B" w14:textId="79AC5F4B">
      <w:pPr>
        <w:pStyle w:val="ListParagraph"/>
        <w:numPr>
          <w:ilvl w:val="0"/>
          <w:numId w:val="2"/>
        </w:numPr>
        <w:spacing w:after="0" w:line="240" w:lineRule="auto"/>
        <w:rPr>
          <w:rFonts w:ascii="Calibri" w:hAnsi="Calibri" w:cs="Calibri"/>
        </w:rPr>
      </w:pPr>
      <w:r w:rsidRPr="00ED2A36">
        <w:rPr>
          <w:rFonts w:ascii="Calibri" w:hAnsi="Calibri" w:cs="Calibri"/>
        </w:rPr>
        <w:t xml:space="preserve">estimate household distribution </w:t>
      </w:r>
    </w:p>
    <w:p w:rsidRPr="00ED2A36" w:rsidR="00D00040" w:rsidP="00ED2A36" w:rsidRDefault="40008D48" w14:paraId="6F54073E" w14:textId="3DEE78AB">
      <w:pPr>
        <w:pStyle w:val="ListParagraph"/>
        <w:numPr>
          <w:ilvl w:val="0"/>
          <w:numId w:val="2"/>
        </w:numPr>
        <w:spacing w:after="0" w:line="240" w:lineRule="auto"/>
        <w:rPr>
          <w:rFonts w:ascii="Calibri" w:hAnsi="Calibri" w:cs="Calibri"/>
        </w:rPr>
      </w:pPr>
      <w:r w:rsidRPr="00ED2A36">
        <w:rPr>
          <w:rFonts w:ascii="Calibri" w:hAnsi="Calibri" w:cs="Calibri"/>
        </w:rPr>
        <w:t xml:space="preserve">allocate population across housing types </w:t>
      </w:r>
    </w:p>
    <w:p w:rsidRPr="00ED2A36" w:rsidR="00D00040" w:rsidP="00ED2A36" w:rsidRDefault="40008D48" w14:paraId="4C772565" w14:textId="3C080D01">
      <w:pPr>
        <w:pStyle w:val="ListParagraph"/>
        <w:numPr>
          <w:ilvl w:val="0"/>
          <w:numId w:val="2"/>
        </w:numPr>
        <w:spacing w:after="0" w:line="240" w:lineRule="auto"/>
        <w:rPr>
          <w:rFonts w:ascii="Calibri" w:hAnsi="Calibri" w:cs="Calibri"/>
        </w:rPr>
      </w:pPr>
      <w:r w:rsidRPr="00ED2A36">
        <w:rPr>
          <w:rFonts w:ascii="Calibri" w:hAnsi="Calibri" w:cs="Calibri"/>
        </w:rPr>
        <w:t xml:space="preserve">model vehicle ownership and travel behavior </w:t>
      </w:r>
    </w:p>
    <w:p w:rsidRPr="00ED2A36" w:rsidR="00D00040" w:rsidP="00ED2A36" w:rsidRDefault="40008D48" w14:paraId="7FAF7229" w14:textId="57B36AC1">
      <w:pPr>
        <w:spacing w:after="0" w:line="240" w:lineRule="auto"/>
        <w:rPr>
          <w:rFonts w:ascii="Calibri" w:hAnsi="Calibri" w:cs="Calibri"/>
        </w:rPr>
      </w:pPr>
      <w:r w:rsidRPr="74595096" w:rsidR="40008D48">
        <w:rPr>
          <w:rFonts w:ascii="Calibri" w:hAnsi="Calibri" w:cs="Calibri"/>
        </w:rPr>
        <w:t>Because housing type is strongly correlated with travel demand, accurately representing the balance between single-family and multifamily units is critical for realistic model outputs.</w:t>
      </w:r>
    </w:p>
    <w:p w:rsidR="74595096" w:rsidP="74595096" w:rsidRDefault="74595096" w14:paraId="2CC72297" w14:textId="61BF5AC1">
      <w:pPr>
        <w:spacing w:after="0" w:line="240" w:lineRule="auto"/>
        <w:rPr>
          <w:rFonts w:ascii="Calibri" w:hAnsi="Calibri" w:cs="Calibri"/>
        </w:rPr>
      </w:pPr>
    </w:p>
    <w:p w:rsidR="0E6B3CF0" w:rsidP="74595096" w:rsidRDefault="0E6B3CF0" w14:paraId="7C1EB7F4" w14:textId="5E968313">
      <w:pPr>
        <w:spacing w:after="0" w:line="240" w:lineRule="auto"/>
        <w:rPr>
          <w:rFonts w:ascii="Calibri" w:hAnsi="Calibri" w:cs="Calibri"/>
        </w:rPr>
      </w:pPr>
      <w:r w:rsidRPr="74595096" w:rsidR="0E6B3CF0">
        <w:rPr>
          <w:rFonts w:ascii="Calibri" w:hAnsi="Calibri" w:cs="Calibri"/>
        </w:rPr>
        <w:t xml:space="preserve">Note for running </w:t>
      </w:r>
      <w:r w:rsidRPr="74595096" w:rsidR="0E6B3CF0">
        <w:rPr>
          <w:rFonts w:ascii="Calibri" w:hAnsi="Calibri" w:cs="Calibri"/>
        </w:rPr>
        <w:t>VisionEval</w:t>
      </w:r>
      <w:r w:rsidRPr="74595096" w:rsidR="0E6B3CF0">
        <w:rPr>
          <w:rFonts w:ascii="Calibri" w:hAnsi="Calibri" w:cs="Calibri"/>
        </w:rPr>
        <w:t xml:space="preserve">: if total SFDU + MFDU + GQDU is 0 for a given </w:t>
      </w:r>
      <w:r w:rsidRPr="74595096" w:rsidR="0E6B3CF0">
        <w:rPr>
          <w:rFonts w:ascii="Calibri" w:hAnsi="Calibri" w:cs="Calibri"/>
        </w:rPr>
        <w:t>bzone</w:t>
      </w:r>
      <w:r w:rsidRPr="74595096" w:rsidR="0E6B3CF0">
        <w:rPr>
          <w:rFonts w:ascii="Calibri" w:hAnsi="Calibri" w:cs="Calibri"/>
        </w:rPr>
        <w:t>, only SFDU is set to 1 to prevent crashing.</w:t>
      </w:r>
      <w:r w:rsidRPr="74595096" w:rsidR="66954076">
        <w:rPr>
          <w:rFonts w:ascii="Calibri" w:hAnsi="Calibri" w:cs="Calibri"/>
        </w:rPr>
        <w:t xml:space="preserve"> Bzones are expected to have at least one usable dwelling unit.</w:t>
      </w:r>
    </w:p>
    <w:p w:rsidR="00ED2A36" w:rsidP="00ED2A36" w:rsidRDefault="00ED2A36" w14:paraId="65D95959" w14:textId="77777777">
      <w:pPr>
        <w:pStyle w:val="Heading2"/>
        <w:spacing w:before="0" w:after="0" w:line="240" w:lineRule="auto"/>
        <w:rPr>
          <w:rFonts w:ascii="Calibri" w:hAnsi="Calibri" w:cs="Calibri" w:eastAsiaTheme="minorEastAsia"/>
          <w:b/>
          <w:bCs/>
          <w:color w:val="auto"/>
          <w:sz w:val="24"/>
          <w:szCs w:val="24"/>
        </w:rPr>
      </w:pPr>
    </w:p>
    <w:p w:rsidRPr="00ED2A36" w:rsidR="00D00040" w:rsidP="00ED2A36" w:rsidRDefault="40008D48" w14:paraId="038A97A1" w14:textId="5DA3895B">
      <w:pPr>
        <w:pStyle w:val="Heading2"/>
        <w:spacing w:before="0" w:after="0" w:line="240" w:lineRule="auto"/>
        <w:rPr>
          <w:rFonts w:ascii="Calibri" w:hAnsi="Calibri" w:cs="Calibri" w:eastAsiaTheme="minorEastAsia"/>
          <w:b/>
          <w:bCs/>
          <w:color w:val="auto"/>
          <w:sz w:val="24"/>
          <w:szCs w:val="24"/>
        </w:rPr>
      </w:pPr>
      <w:r w:rsidRPr="00ED2A36">
        <w:rPr>
          <w:rFonts w:ascii="Calibri" w:hAnsi="Calibri" w:cs="Calibri" w:eastAsiaTheme="minorEastAsia"/>
          <w:b/>
          <w:bCs/>
          <w:color w:val="auto"/>
          <w:sz w:val="24"/>
          <w:szCs w:val="24"/>
        </w:rPr>
        <w:t>Replication Procedure</w:t>
      </w:r>
    </w:p>
    <w:p w:rsidRPr="00ED2A36" w:rsidR="00D00040" w:rsidP="00ED2A36" w:rsidRDefault="40008D48" w14:paraId="5BED9A31" w14:textId="5E459DBF">
      <w:pPr>
        <w:spacing w:after="0" w:line="240" w:lineRule="auto"/>
        <w:rPr>
          <w:rFonts w:ascii="Calibri" w:hAnsi="Calibri" w:cs="Calibri"/>
        </w:rPr>
      </w:pPr>
      <w:r w:rsidRPr="00ED2A36">
        <w:rPr>
          <w:rFonts w:ascii="Calibri" w:hAnsi="Calibri" w:cs="Calibri"/>
        </w:rPr>
        <w:t>To recreate this file:</w:t>
      </w:r>
    </w:p>
    <w:p w:rsidRPr="00ED2A36" w:rsidR="00D00040" w:rsidP="00ED2A36" w:rsidRDefault="40008D48" w14:paraId="7444C39B" w14:textId="3C9DC70D">
      <w:pPr>
        <w:pStyle w:val="ListParagraph"/>
        <w:numPr>
          <w:ilvl w:val="0"/>
          <w:numId w:val="1"/>
        </w:numPr>
        <w:spacing w:after="0" w:line="240" w:lineRule="auto"/>
        <w:rPr>
          <w:rFonts w:ascii="Calibri" w:hAnsi="Calibri" w:cs="Calibri"/>
        </w:rPr>
      </w:pPr>
      <w:r w:rsidRPr="00ED2A36">
        <w:rPr>
          <w:rFonts w:ascii="Calibri" w:hAnsi="Calibri" w:cs="Calibri"/>
        </w:rPr>
        <w:t xml:space="preserve">Obtain Census housing data (units in structure) at the block group level </w:t>
      </w:r>
    </w:p>
    <w:p w:rsidRPr="00ED2A36" w:rsidR="00D00040" w:rsidP="00ED2A36" w:rsidRDefault="40008D48" w14:paraId="7D2CEEE3" w14:textId="2830C0E4">
      <w:pPr>
        <w:pStyle w:val="ListParagraph"/>
        <w:numPr>
          <w:ilvl w:val="0"/>
          <w:numId w:val="1"/>
        </w:numPr>
        <w:spacing w:after="0" w:line="240" w:lineRule="auto"/>
        <w:rPr>
          <w:rFonts w:ascii="Calibri" w:hAnsi="Calibri" w:cs="Calibri"/>
        </w:rPr>
      </w:pPr>
      <w:r w:rsidRPr="00ED2A36">
        <w:rPr>
          <w:rFonts w:ascii="Calibri" w:hAnsi="Calibri" w:cs="Calibri"/>
        </w:rPr>
        <w:t xml:space="preserve">Classify units into SFDU (1-unit structures) and MFDU (2+ unit structures) </w:t>
      </w:r>
    </w:p>
    <w:p w:rsidRPr="00ED2A36" w:rsidR="00D00040" w:rsidP="00ED2A36" w:rsidRDefault="40008D48" w14:paraId="53866531" w14:textId="34950268">
      <w:pPr>
        <w:pStyle w:val="ListParagraph"/>
        <w:numPr>
          <w:ilvl w:val="0"/>
          <w:numId w:val="1"/>
        </w:numPr>
        <w:spacing w:after="0" w:line="240" w:lineRule="auto"/>
        <w:rPr>
          <w:rFonts w:ascii="Calibri" w:hAnsi="Calibri" w:cs="Calibri"/>
        </w:rPr>
      </w:pPr>
      <w:r w:rsidRPr="00ED2A36">
        <w:rPr>
          <w:rFonts w:ascii="Calibri" w:hAnsi="Calibri" w:cs="Calibri"/>
        </w:rPr>
        <w:t xml:space="preserve">Obtain group quarters population data </w:t>
      </w:r>
    </w:p>
    <w:p w:rsidRPr="00ED2A36" w:rsidR="00D00040" w:rsidP="00ED2A36" w:rsidRDefault="40008D48" w14:paraId="545BEB50" w14:textId="472F428D">
      <w:pPr>
        <w:pStyle w:val="ListParagraph"/>
        <w:numPr>
          <w:ilvl w:val="0"/>
          <w:numId w:val="1"/>
        </w:numPr>
        <w:spacing w:after="0" w:line="240" w:lineRule="auto"/>
        <w:rPr>
          <w:rFonts w:ascii="Calibri" w:hAnsi="Calibri" w:cs="Calibri"/>
        </w:rPr>
      </w:pPr>
      <w:r w:rsidRPr="00ED2A36">
        <w:rPr>
          <w:rFonts w:ascii="Calibri" w:hAnsi="Calibri" w:cs="Calibri"/>
        </w:rPr>
        <w:t xml:space="preserve">Assign GQDU using a 1:1 population-to-unit assumption </w:t>
      </w:r>
    </w:p>
    <w:p w:rsidRPr="00ED2A36" w:rsidR="00D00040" w:rsidP="00ED2A36" w:rsidRDefault="40008D48" w14:paraId="28E582C5" w14:textId="79AFB2E0">
      <w:pPr>
        <w:pStyle w:val="ListParagraph"/>
        <w:numPr>
          <w:ilvl w:val="0"/>
          <w:numId w:val="1"/>
        </w:numPr>
        <w:spacing w:after="0" w:line="240" w:lineRule="auto"/>
        <w:rPr>
          <w:rFonts w:ascii="Calibri" w:hAnsi="Calibri" w:cs="Calibri"/>
        </w:rPr>
      </w:pPr>
      <w:r w:rsidRPr="00ED2A36">
        <w:rPr>
          <w:rFonts w:ascii="Calibri" w:hAnsi="Calibri" w:cs="Calibri"/>
        </w:rPr>
        <w:t xml:space="preserve">Map all values to Bzones </w:t>
      </w:r>
    </w:p>
    <w:p w:rsidRPr="00ED2A36" w:rsidR="00D00040" w:rsidP="00ED2A36" w:rsidRDefault="40008D48" w14:paraId="3D65D7F1" w14:textId="77E8B2A4">
      <w:pPr>
        <w:pStyle w:val="ListParagraph"/>
        <w:numPr>
          <w:ilvl w:val="0"/>
          <w:numId w:val="1"/>
        </w:numPr>
        <w:spacing w:after="0" w:line="240" w:lineRule="auto"/>
        <w:rPr>
          <w:rFonts w:ascii="Calibri" w:hAnsi="Calibri" w:cs="Calibri"/>
        </w:rPr>
      </w:pPr>
      <w:r w:rsidRPr="00ED2A36">
        <w:rPr>
          <w:rFonts w:ascii="Calibri" w:hAnsi="Calibri" w:cs="Calibri"/>
        </w:rPr>
        <w:t xml:space="preserve">Assign values for each modeled year </w:t>
      </w:r>
    </w:p>
    <w:p w:rsidRPr="00ED2A36" w:rsidR="00D00040" w:rsidP="00ED2A36" w:rsidRDefault="40008D48" w14:paraId="48B4FE60" w14:textId="4A93C3CA">
      <w:pPr>
        <w:pStyle w:val="ListParagraph"/>
        <w:numPr>
          <w:ilvl w:val="0"/>
          <w:numId w:val="1"/>
        </w:numPr>
        <w:spacing w:after="0" w:line="240" w:lineRule="auto"/>
        <w:rPr>
          <w:rFonts w:ascii="Calibri" w:hAnsi="Calibri" w:cs="Calibri"/>
        </w:rPr>
      </w:pPr>
      <w:r w:rsidRPr="00ED2A36">
        <w:rPr>
          <w:rFonts w:ascii="Calibri" w:hAnsi="Calibri" w:cs="Calibri"/>
        </w:rPr>
        <w:t xml:space="preserve">Export to CSV </w:t>
      </w:r>
    </w:p>
    <w:p w:rsidRPr="00ED2A36" w:rsidR="00D00040" w:rsidP="00ED2A36" w:rsidRDefault="00D00040" w14:paraId="2B8C7B59" w14:textId="62CA192B">
      <w:pPr>
        <w:spacing w:after="0" w:line="240" w:lineRule="auto"/>
        <w:rPr>
          <w:rFonts w:ascii="Calibri" w:hAnsi="Calibri" w:cs="Calibri"/>
        </w:rPr>
      </w:pPr>
    </w:p>
    <w:p w:rsidRPr="00ED2A36" w:rsidR="00D00040" w:rsidP="00ED2A36" w:rsidRDefault="40008D48" w14:paraId="09D8C9CF" w14:textId="3445B361">
      <w:pPr>
        <w:pStyle w:val="Heading3"/>
        <w:spacing w:before="0" w:after="0" w:line="240" w:lineRule="auto"/>
        <w:rPr>
          <w:rFonts w:ascii="Calibri" w:hAnsi="Calibri" w:cs="Calibri" w:eastAsiaTheme="minorEastAsia"/>
          <w:b/>
          <w:bCs/>
          <w:color w:val="auto"/>
          <w:sz w:val="24"/>
          <w:szCs w:val="24"/>
        </w:rPr>
      </w:pPr>
      <w:r w:rsidRPr="00ED2A36">
        <w:rPr>
          <w:rFonts w:ascii="Calibri" w:hAnsi="Calibri" w:cs="Calibri" w:eastAsiaTheme="minorEastAsia"/>
          <w:b/>
          <w:bCs/>
          <w:color w:val="auto"/>
          <w:sz w:val="24"/>
          <w:szCs w:val="24"/>
        </w:rPr>
        <w:t>Example R Script</w:t>
      </w:r>
    </w:p>
    <w:p w:rsidRPr="00ED2A36" w:rsidR="00D00040" w:rsidP="00ED2A36" w:rsidRDefault="40008D48" w14:paraId="34BAD252" w14:textId="3E75B116">
      <w:pPr>
        <w:spacing w:after="0" w:line="240" w:lineRule="auto"/>
        <w:rPr>
          <w:rFonts w:ascii="Calibri" w:hAnsi="Calibri" w:cs="Calibri"/>
        </w:rPr>
      </w:pPr>
      <w:r w:rsidRPr="00ED2A36">
        <w:rPr>
          <w:rFonts w:ascii="Calibri" w:hAnsi="Calibri" w:cs="Calibri"/>
        </w:rPr>
        <w:t>library(dplyr)</w:t>
      </w:r>
      <w:r w:rsidRPr="00ED2A36" w:rsidR="00ED2A36">
        <w:rPr>
          <w:rFonts w:ascii="Calibri" w:hAnsi="Calibri" w:cs="Calibri"/>
        </w:rPr>
        <w:br/>
      </w:r>
      <w:r w:rsidRPr="00ED2A36" w:rsidR="00ED2A36">
        <w:rPr>
          <w:rFonts w:ascii="Calibri" w:hAnsi="Calibri" w:cs="Calibri"/>
        </w:rPr>
        <w:br/>
      </w:r>
      <w:r w:rsidRPr="00ED2A36">
        <w:rPr>
          <w:rFonts w:ascii="Calibri" w:hAnsi="Calibri" w:cs="Calibri"/>
        </w:rPr>
        <w:t>df &lt;- data.frame(</w:t>
      </w:r>
      <w:r w:rsidRPr="00ED2A36" w:rsidR="00ED2A36">
        <w:rPr>
          <w:rFonts w:ascii="Calibri" w:hAnsi="Calibri" w:cs="Calibri"/>
        </w:rPr>
        <w:br/>
      </w:r>
      <w:r w:rsidRPr="00ED2A36">
        <w:rPr>
          <w:rFonts w:ascii="Calibri" w:hAnsi="Calibri" w:cs="Calibri"/>
        </w:rPr>
        <w:t xml:space="preserve">  Geo = c("515400002011","510010902022","510010902023"),</w:t>
      </w:r>
      <w:r w:rsidRPr="00ED2A36" w:rsidR="00ED2A36">
        <w:rPr>
          <w:rFonts w:ascii="Calibri" w:hAnsi="Calibri" w:cs="Calibri"/>
        </w:rPr>
        <w:br/>
      </w:r>
      <w:r w:rsidRPr="00ED2A36">
        <w:rPr>
          <w:rFonts w:ascii="Calibri" w:hAnsi="Calibri" w:cs="Calibri"/>
        </w:rPr>
        <w:t xml:space="preserve">  Year = c(2045,2045,2024),</w:t>
      </w:r>
      <w:r w:rsidRPr="00ED2A36" w:rsidR="00ED2A36">
        <w:rPr>
          <w:rFonts w:ascii="Calibri" w:hAnsi="Calibri" w:cs="Calibri"/>
        </w:rPr>
        <w:br/>
      </w:r>
      <w:r w:rsidRPr="00ED2A36">
        <w:rPr>
          <w:rFonts w:ascii="Calibri" w:hAnsi="Calibri" w:cs="Calibri"/>
        </w:rPr>
        <w:t xml:space="preserve">  SFDU = c(307,1097,719),</w:t>
      </w:r>
      <w:r w:rsidRPr="00ED2A36" w:rsidR="00ED2A36">
        <w:rPr>
          <w:rFonts w:ascii="Calibri" w:hAnsi="Calibri" w:cs="Calibri"/>
        </w:rPr>
        <w:br/>
      </w:r>
      <w:r w:rsidRPr="00ED2A36">
        <w:rPr>
          <w:rFonts w:ascii="Calibri" w:hAnsi="Calibri" w:cs="Calibri"/>
        </w:rPr>
        <w:t xml:space="preserve">  MFDU = c(449,148,134),</w:t>
      </w:r>
      <w:r w:rsidRPr="00ED2A36" w:rsidR="00ED2A36">
        <w:rPr>
          <w:rFonts w:ascii="Calibri" w:hAnsi="Calibri" w:cs="Calibri"/>
        </w:rPr>
        <w:br/>
      </w:r>
      <w:r w:rsidRPr="00ED2A36">
        <w:rPr>
          <w:rFonts w:ascii="Calibri" w:hAnsi="Calibri" w:cs="Calibri"/>
        </w:rPr>
        <w:t xml:space="preserve">  GQDU = c(0,0,35)</w:t>
      </w:r>
      <w:r w:rsidRPr="00ED2A36" w:rsidR="00ED2A36">
        <w:rPr>
          <w:rFonts w:ascii="Calibri" w:hAnsi="Calibri" w:cs="Calibri"/>
        </w:rPr>
        <w:br/>
      </w:r>
      <w:r w:rsidRPr="00ED2A36">
        <w:rPr>
          <w:rFonts w:ascii="Calibri" w:hAnsi="Calibri" w:cs="Calibri"/>
        </w:rPr>
        <w:t>)</w:t>
      </w:r>
      <w:r w:rsidRPr="00ED2A36" w:rsidR="00ED2A36">
        <w:rPr>
          <w:rFonts w:ascii="Calibri" w:hAnsi="Calibri" w:cs="Calibri"/>
        </w:rPr>
        <w:br/>
      </w:r>
      <w:r w:rsidRPr="00ED2A36" w:rsidR="00ED2A36">
        <w:rPr>
          <w:rFonts w:ascii="Calibri" w:hAnsi="Calibri" w:cs="Calibri"/>
        </w:rPr>
        <w:br/>
      </w:r>
      <w:r w:rsidRPr="00ED2A36">
        <w:rPr>
          <w:rFonts w:ascii="Calibri" w:hAnsi="Calibri" w:cs="Calibri"/>
        </w:rPr>
        <w:t>write.csv(df, "bzone_dwelling_units.csv", row.names = FALSE)</w:t>
      </w:r>
    </w:p>
    <w:p w:rsidR="00D00040" w:rsidP="00ED2A36" w:rsidRDefault="00D00040" w14:paraId="2C078E63" w14:textId="2E4006A6">
      <w:pPr>
        <w:spacing w:after="0" w:line="240" w:lineRule="auto"/>
        <w:rPr>
          <w:rFonts w:ascii="Calibri" w:hAnsi="Calibri" w:cs="Calibri"/>
        </w:rPr>
      </w:pPr>
    </w:p>
    <w:p w:rsidR="00ED2A36" w:rsidP="00ED2A36" w:rsidRDefault="00ED2A36" w14:paraId="0A9DF7F8" w14:textId="29DBC72E">
      <w:pPr>
        <w:spacing w:after="0" w:line="240" w:lineRule="auto"/>
        <w:rPr>
          <w:rFonts w:ascii="Calibri" w:hAnsi="Calibri" w:cs="Calibri"/>
        </w:rPr>
      </w:pPr>
      <w:r>
        <w:rPr>
          <w:rFonts w:ascii="Calibri" w:hAnsi="Calibri" w:cs="Calibri"/>
        </w:rPr>
        <w:t>Locations of Materials Internal to VTRC</w:t>
      </w:r>
    </w:p>
    <w:p w:rsidRPr="00ED2A36" w:rsidR="00ED2A36" w:rsidP="00ED2A36" w:rsidRDefault="00ED2A36" w14:paraId="64E42827" w14:textId="77777777">
      <w:pPr>
        <w:spacing w:after="0" w:line="240" w:lineRule="auto"/>
        <w:rPr>
          <w:rFonts w:ascii="Calibri" w:hAnsi="Calibri" w:cs="Calibri"/>
        </w:rPr>
      </w:pPr>
    </w:p>
    <w:p w:rsidRPr="00ED2A36" w:rsidR="00ED2A36" w:rsidP="00ED2A36" w:rsidRDefault="00ED2A36" w14:paraId="6B39B612" w14:textId="77777777">
      <w:pPr>
        <w:pStyle w:val="PlainText"/>
        <w:numPr>
          <w:ilvl w:val="0"/>
          <w:numId w:val="10"/>
        </w:numPr>
        <w:rPr>
          <w:rFonts w:ascii="Calibri" w:hAnsi="Calibri" w:cs="Calibri"/>
          <w:sz w:val="24"/>
          <w:szCs w:val="24"/>
        </w:rPr>
      </w:pPr>
      <w:r w:rsidRPr="00ED2A36">
        <w:rPr>
          <w:rFonts w:ascii="Calibri" w:hAnsi="Calibri" w:cs="Calibri"/>
          <w:sz w:val="24"/>
          <w:szCs w:val="24"/>
        </w:rPr>
        <w:t>C:\Users\John.Miller1\Commonwealth of Virginia\TM-VDOT-VTRC EPE - Documents\TeamStuff\EPEStuff\DataSets\WoodsPoole\Woods&amp;Poole2024\SP_2024_DC_MD_VA.zip\WP_Download_2024\SP_2024_DC_MD_VA</w:t>
      </w:r>
    </w:p>
    <w:p w:rsidRPr="00ED2A36" w:rsidR="00ED2A36" w:rsidP="00ED2A36" w:rsidRDefault="00ED2A36" w14:paraId="200AB399" w14:textId="77777777">
      <w:pPr>
        <w:pStyle w:val="PlainText"/>
        <w:rPr>
          <w:rFonts w:ascii="Calibri" w:hAnsi="Calibri" w:cs="Calibri"/>
          <w:sz w:val="24"/>
          <w:szCs w:val="24"/>
        </w:rPr>
      </w:pPr>
    </w:p>
    <w:p w:rsidRPr="00ED2A36" w:rsidR="00ED2A36" w:rsidP="00ED2A36" w:rsidRDefault="00ED2A36" w14:paraId="5D379053" w14:textId="77777777">
      <w:pPr>
        <w:pStyle w:val="PlainText"/>
        <w:rPr>
          <w:rFonts w:ascii="Calibri" w:hAnsi="Calibri" w:cs="Calibri"/>
          <w:sz w:val="24"/>
          <w:szCs w:val="24"/>
        </w:rPr>
      </w:pPr>
    </w:p>
    <w:p w:rsidRPr="00ED2A36" w:rsidR="00ED2A36" w:rsidP="00ED2A36" w:rsidRDefault="00ED2A36" w14:paraId="37A8B438" w14:textId="77777777">
      <w:pPr>
        <w:pStyle w:val="PlainText"/>
        <w:numPr>
          <w:ilvl w:val="0"/>
          <w:numId w:val="10"/>
        </w:numPr>
        <w:rPr>
          <w:rFonts w:ascii="Calibri" w:hAnsi="Calibri" w:cs="Calibri"/>
          <w:sz w:val="24"/>
          <w:szCs w:val="24"/>
        </w:rPr>
      </w:pPr>
      <w:r w:rsidRPr="00ED2A36">
        <w:rPr>
          <w:rFonts w:ascii="Calibri" w:hAnsi="Calibri" w:cs="Calibri"/>
          <w:sz w:val="24"/>
          <w:szCs w:val="24"/>
        </w:rPr>
        <w:t>https://covgov.sharepoint.com/sites/TM-VDOT-vtrcepe/Shared%20Documents/TeamStuff/ProjectStuff/Summer2024/VTrans/2024%20Local%2065+Population.xlsm</w:t>
      </w:r>
    </w:p>
    <w:p w:rsidR="00ED2A36" w:rsidP="00ED2A36" w:rsidRDefault="00ED2A36" w14:paraId="7D0D0ABF" w14:textId="77777777">
      <w:pPr>
        <w:spacing w:after="0" w:line="240" w:lineRule="auto"/>
      </w:pPr>
    </w:p>
    <w:sectPr w:rsidR="00ED2A36" w:rsidSect="00ED2A36">
      <w:footerReference w:type="default" r:id="rId9"/>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2A36" w:rsidP="00ED2A36" w:rsidRDefault="00ED2A36" w14:paraId="2FBF8B35" w14:textId="77777777">
      <w:pPr>
        <w:spacing w:after="0" w:line="240" w:lineRule="auto"/>
      </w:pPr>
      <w:r>
        <w:separator/>
      </w:r>
    </w:p>
  </w:endnote>
  <w:endnote w:type="continuationSeparator" w:id="0">
    <w:p w:rsidR="00ED2A36" w:rsidP="00ED2A36" w:rsidRDefault="00ED2A36" w14:paraId="13A447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489330"/>
      <w:docPartObj>
        <w:docPartGallery w:val="Page Numbers (Bottom of Page)"/>
        <w:docPartUnique/>
      </w:docPartObj>
    </w:sdtPr>
    <w:sdtEndPr>
      <w:rPr>
        <w:noProof/>
      </w:rPr>
    </w:sdtEndPr>
    <w:sdtContent>
      <w:p w:rsidR="00ED2A36" w:rsidRDefault="00ED2A36" w14:paraId="337B4162" w14:textId="089283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D2A36" w:rsidRDefault="00ED2A36" w14:paraId="023990F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2A36" w:rsidP="00ED2A36" w:rsidRDefault="00ED2A36" w14:paraId="17AF78B7" w14:textId="77777777">
      <w:pPr>
        <w:spacing w:after="0" w:line="240" w:lineRule="auto"/>
      </w:pPr>
      <w:r>
        <w:separator/>
      </w:r>
    </w:p>
  </w:footnote>
  <w:footnote w:type="continuationSeparator" w:id="0">
    <w:p w:rsidR="00ED2A36" w:rsidP="00ED2A36" w:rsidRDefault="00ED2A36" w14:paraId="60B828D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95F2"/>
    <w:multiLevelType w:val="hybridMultilevel"/>
    <w:tmpl w:val="D4E6F932"/>
    <w:lvl w:ilvl="0" w:tplc="7E724BA2">
      <w:start w:val="1"/>
      <w:numFmt w:val="bullet"/>
      <w:lvlText w:val=""/>
      <w:lvlJc w:val="left"/>
      <w:pPr>
        <w:ind w:left="720" w:hanging="360"/>
      </w:pPr>
      <w:rPr>
        <w:rFonts w:hint="default" w:ascii="Symbol" w:hAnsi="Symbol"/>
      </w:rPr>
    </w:lvl>
    <w:lvl w:ilvl="1" w:tplc="DAF2313A">
      <w:start w:val="1"/>
      <w:numFmt w:val="bullet"/>
      <w:lvlText w:val="o"/>
      <w:lvlJc w:val="left"/>
      <w:pPr>
        <w:ind w:left="1440" w:hanging="360"/>
      </w:pPr>
      <w:rPr>
        <w:rFonts w:hint="default" w:ascii="Courier New" w:hAnsi="Courier New"/>
      </w:rPr>
    </w:lvl>
    <w:lvl w:ilvl="2" w:tplc="EB3AC6EE">
      <w:start w:val="1"/>
      <w:numFmt w:val="bullet"/>
      <w:lvlText w:val=""/>
      <w:lvlJc w:val="left"/>
      <w:pPr>
        <w:ind w:left="2160" w:hanging="360"/>
      </w:pPr>
      <w:rPr>
        <w:rFonts w:hint="default" w:ascii="Wingdings" w:hAnsi="Wingdings"/>
      </w:rPr>
    </w:lvl>
    <w:lvl w:ilvl="3" w:tplc="383A6426">
      <w:start w:val="1"/>
      <w:numFmt w:val="bullet"/>
      <w:lvlText w:val=""/>
      <w:lvlJc w:val="left"/>
      <w:pPr>
        <w:ind w:left="2880" w:hanging="360"/>
      </w:pPr>
      <w:rPr>
        <w:rFonts w:hint="default" w:ascii="Symbol" w:hAnsi="Symbol"/>
      </w:rPr>
    </w:lvl>
    <w:lvl w:ilvl="4" w:tplc="97869BFE">
      <w:start w:val="1"/>
      <w:numFmt w:val="bullet"/>
      <w:lvlText w:val="o"/>
      <w:lvlJc w:val="left"/>
      <w:pPr>
        <w:ind w:left="3600" w:hanging="360"/>
      </w:pPr>
      <w:rPr>
        <w:rFonts w:hint="default" w:ascii="Courier New" w:hAnsi="Courier New"/>
      </w:rPr>
    </w:lvl>
    <w:lvl w:ilvl="5" w:tplc="051C8152">
      <w:start w:val="1"/>
      <w:numFmt w:val="bullet"/>
      <w:lvlText w:val=""/>
      <w:lvlJc w:val="left"/>
      <w:pPr>
        <w:ind w:left="4320" w:hanging="360"/>
      </w:pPr>
      <w:rPr>
        <w:rFonts w:hint="default" w:ascii="Wingdings" w:hAnsi="Wingdings"/>
      </w:rPr>
    </w:lvl>
    <w:lvl w:ilvl="6" w:tplc="9ACE3DE2">
      <w:start w:val="1"/>
      <w:numFmt w:val="bullet"/>
      <w:lvlText w:val=""/>
      <w:lvlJc w:val="left"/>
      <w:pPr>
        <w:ind w:left="5040" w:hanging="360"/>
      </w:pPr>
      <w:rPr>
        <w:rFonts w:hint="default" w:ascii="Symbol" w:hAnsi="Symbol"/>
      </w:rPr>
    </w:lvl>
    <w:lvl w:ilvl="7" w:tplc="73329F90">
      <w:start w:val="1"/>
      <w:numFmt w:val="bullet"/>
      <w:lvlText w:val="o"/>
      <w:lvlJc w:val="left"/>
      <w:pPr>
        <w:ind w:left="5760" w:hanging="360"/>
      </w:pPr>
      <w:rPr>
        <w:rFonts w:hint="default" w:ascii="Courier New" w:hAnsi="Courier New"/>
      </w:rPr>
    </w:lvl>
    <w:lvl w:ilvl="8" w:tplc="DF50ACC8">
      <w:start w:val="1"/>
      <w:numFmt w:val="bullet"/>
      <w:lvlText w:val=""/>
      <w:lvlJc w:val="left"/>
      <w:pPr>
        <w:ind w:left="6480" w:hanging="360"/>
      </w:pPr>
      <w:rPr>
        <w:rFonts w:hint="default" w:ascii="Wingdings" w:hAnsi="Wingdings"/>
      </w:rPr>
    </w:lvl>
  </w:abstractNum>
  <w:abstractNum w:abstractNumId="1" w15:restartNumberingAfterBreak="0">
    <w:nsid w:val="10C7983F"/>
    <w:multiLevelType w:val="hybridMultilevel"/>
    <w:tmpl w:val="2A40201A"/>
    <w:lvl w:ilvl="0" w:tplc="0CB03F06">
      <w:start w:val="1"/>
      <w:numFmt w:val="bullet"/>
      <w:lvlText w:val=""/>
      <w:lvlJc w:val="left"/>
      <w:pPr>
        <w:ind w:left="720" w:hanging="360"/>
      </w:pPr>
      <w:rPr>
        <w:rFonts w:hint="default" w:ascii="Symbol" w:hAnsi="Symbol"/>
      </w:rPr>
    </w:lvl>
    <w:lvl w:ilvl="1" w:tplc="5142EBA2">
      <w:start w:val="1"/>
      <w:numFmt w:val="bullet"/>
      <w:lvlText w:val="o"/>
      <w:lvlJc w:val="left"/>
      <w:pPr>
        <w:ind w:left="1440" w:hanging="360"/>
      </w:pPr>
      <w:rPr>
        <w:rFonts w:hint="default" w:ascii="Courier New" w:hAnsi="Courier New"/>
      </w:rPr>
    </w:lvl>
    <w:lvl w:ilvl="2" w:tplc="573ABFD8">
      <w:start w:val="1"/>
      <w:numFmt w:val="bullet"/>
      <w:lvlText w:val=""/>
      <w:lvlJc w:val="left"/>
      <w:pPr>
        <w:ind w:left="2160" w:hanging="360"/>
      </w:pPr>
      <w:rPr>
        <w:rFonts w:hint="default" w:ascii="Wingdings" w:hAnsi="Wingdings"/>
      </w:rPr>
    </w:lvl>
    <w:lvl w:ilvl="3" w:tplc="73E0CC92">
      <w:start w:val="1"/>
      <w:numFmt w:val="bullet"/>
      <w:lvlText w:val=""/>
      <w:lvlJc w:val="left"/>
      <w:pPr>
        <w:ind w:left="2880" w:hanging="360"/>
      </w:pPr>
      <w:rPr>
        <w:rFonts w:hint="default" w:ascii="Symbol" w:hAnsi="Symbol"/>
      </w:rPr>
    </w:lvl>
    <w:lvl w:ilvl="4" w:tplc="A878ADBC">
      <w:start w:val="1"/>
      <w:numFmt w:val="bullet"/>
      <w:lvlText w:val="o"/>
      <w:lvlJc w:val="left"/>
      <w:pPr>
        <w:ind w:left="3600" w:hanging="360"/>
      </w:pPr>
      <w:rPr>
        <w:rFonts w:hint="default" w:ascii="Courier New" w:hAnsi="Courier New"/>
      </w:rPr>
    </w:lvl>
    <w:lvl w:ilvl="5" w:tplc="A53EE67C">
      <w:start w:val="1"/>
      <w:numFmt w:val="bullet"/>
      <w:lvlText w:val=""/>
      <w:lvlJc w:val="left"/>
      <w:pPr>
        <w:ind w:left="4320" w:hanging="360"/>
      </w:pPr>
      <w:rPr>
        <w:rFonts w:hint="default" w:ascii="Wingdings" w:hAnsi="Wingdings"/>
      </w:rPr>
    </w:lvl>
    <w:lvl w:ilvl="6" w:tplc="BEC05940">
      <w:start w:val="1"/>
      <w:numFmt w:val="bullet"/>
      <w:lvlText w:val=""/>
      <w:lvlJc w:val="left"/>
      <w:pPr>
        <w:ind w:left="5040" w:hanging="360"/>
      </w:pPr>
      <w:rPr>
        <w:rFonts w:hint="default" w:ascii="Symbol" w:hAnsi="Symbol"/>
      </w:rPr>
    </w:lvl>
    <w:lvl w:ilvl="7" w:tplc="6B6EF1AA">
      <w:start w:val="1"/>
      <w:numFmt w:val="bullet"/>
      <w:lvlText w:val="o"/>
      <w:lvlJc w:val="left"/>
      <w:pPr>
        <w:ind w:left="5760" w:hanging="360"/>
      </w:pPr>
      <w:rPr>
        <w:rFonts w:hint="default" w:ascii="Courier New" w:hAnsi="Courier New"/>
      </w:rPr>
    </w:lvl>
    <w:lvl w:ilvl="8" w:tplc="9196D290">
      <w:start w:val="1"/>
      <w:numFmt w:val="bullet"/>
      <w:lvlText w:val=""/>
      <w:lvlJc w:val="left"/>
      <w:pPr>
        <w:ind w:left="6480" w:hanging="360"/>
      </w:pPr>
      <w:rPr>
        <w:rFonts w:hint="default" w:ascii="Wingdings" w:hAnsi="Wingdings"/>
      </w:rPr>
    </w:lvl>
  </w:abstractNum>
  <w:abstractNum w:abstractNumId="2" w15:restartNumberingAfterBreak="0">
    <w:nsid w:val="2319BE06"/>
    <w:multiLevelType w:val="hybridMultilevel"/>
    <w:tmpl w:val="AE3CC11E"/>
    <w:lvl w:ilvl="0" w:tplc="39887490">
      <w:start w:val="1"/>
      <w:numFmt w:val="bullet"/>
      <w:lvlText w:val=""/>
      <w:lvlJc w:val="left"/>
      <w:pPr>
        <w:ind w:left="720" w:hanging="360"/>
      </w:pPr>
      <w:rPr>
        <w:rFonts w:hint="default" w:ascii="Symbol" w:hAnsi="Symbol"/>
      </w:rPr>
    </w:lvl>
    <w:lvl w:ilvl="1" w:tplc="23E0904A">
      <w:start w:val="1"/>
      <w:numFmt w:val="bullet"/>
      <w:lvlText w:val="o"/>
      <w:lvlJc w:val="left"/>
      <w:pPr>
        <w:ind w:left="1440" w:hanging="360"/>
      </w:pPr>
      <w:rPr>
        <w:rFonts w:hint="default" w:ascii="Courier New" w:hAnsi="Courier New"/>
      </w:rPr>
    </w:lvl>
    <w:lvl w:ilvl="2" w:tplc="DE46D62C">
      <w:start w:val="1"/>
      <w:numFmt w:val="bullet"/>
      <w:lvlText w:val=""/>
      <w:lvlJc w:val="left"/>
      <w:pPr>
        <w:ind w:left="2160" w:hanging="360"/>
      </w:pPr>
      <w:rPr>
        <w:rFonts w:hint="default" w:ascii="Wingdings" w:hAnsi="Wingdings"/>
      </w:rPr>
    </w:lvl>
    <w:lvl w:ilvl="3" w:tplc="DBF29220">
      <w:start w:val="1"/>
      <w:numFmt w:val="bullet"/>
      <w:lvlText w:val=""/>
      <w:lvlJc w:val="left"/>
      <w:pPr>
        <w:ind w:left="2880" w:hanging="360"/>
      </w:pPr>
      <w:rPr>
        <w:rFonts w:hint="default" w:ascii="Symbol" w:hAnsi="Symbol"/>
      </w:rPr>
    </w:lvl>
    <w:lvl w:ilvl="4" w:tplc="777C2A4C">
      <w:start w:val="1"/>
      <w:numFmt w:val="bullet"/>
      <w:lvlText w:val="o"/>
      <w:lvlJc w:val="left"/>
      <w:pPr>
        <w:ind w:left="3600" w:hanging="360"/>
      </w:pPr>
      <w:rPr>
        <w:rFonts w:hint="default" w:ascii="Courier New" w:hAnsi="Courier New"/>
      </w:rPr>
    </w:lvl>
    <w:lvl w:ilvl="5" w:tplc="33A4A37C">
      <w:start w:val="1"/>
      <w:numFmt w:val="bullet"/>
      <w:lvlText w:val=""/>
      <w:lvlJc w:val="left"/>
      <w:pPr>
        <w:ind w:left="4320" w:hanging="360"/>
      </w:pPr>
      <w:rPr>
        <w:rFonts w:hint="default" w:ascii="Wingdings" w:hAnsi="Wingdings"/>
      </w:rPr>
    </w:lvl>
    <w:lvl w:ilvl="6" w:tplc="6F4C2308">
      <w:start w:val="1"/>
      <w:numFmt w:val="bullet"/>
      <w:lvlText w:val=""/>
      <w:lvlJc w:val="left"/>
      <w:pPr>
        <w:ind w:left="5040" w:hanging="360"/>
      </w:pPr>
      <w:rPr>
        <w:rFonts w:hint="default" w:ascii="Symbol" w:hAnsi="Symbol"/>
      </w:rPr>
    </w:lvl>
    <w:lvl w:ilvl="7" w:tplc="6D82A278">
      <w:start w:val="1"/>
      <w:numFmt w:val="bullet"/>
      <w:lvlText w:val="o"/>
      <w:lvlJc w:val="left"/>
      <w:pPr>
        <w:ind w:left="5760" w:hanging="360"/>
      </w:pPr>
      <w:rPr>
        <w:rFonts w:hint="default" w:ascii="Courier New" w:hAnsi="Courier New"/>
      </w:rPr>
    </w:lvl>
    <w:lvl w:ilvl="8" w:tplc="58E8449A">
      <w:start w:val="1"/>
      <w:numFmt w:val="bullet"/>
      <w:lvlText w:val=""/>
      <w:lvlJc w:val="left"/>
      <w:pPr>
        <w:ind w:left="6480" w:hanging="360"/>
      </w:pPr>
      <w:rPr>
        <w:rFonts w:hint="default" w:ascii="Wingdings" w:hAnsi="Wingdings"/>
      </w:rPr>
    </w:lvl>
  </w:abstractNum>
  <w:abstractNum w:abstractNumId="3" w15:restartNumberingAfterBreak="0">
    <w:nsid w:val="3E841625"/>
    <w:multiLevelType w:val="hybridMultilevel"/>
    <w:tmpl w:val="63E823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F245F97"/>
    <w:multiLevelType w:val="hybridMultilevel"/>
    <w:tmpl w:val="6E68233C"/>
    <w:lvl w:ilvl="0" w:tplc="03B470DA">
      <w:start w:val="1"/>
      <w:numFmt w:val="bullet"/>
      <w:lvlText w:val=""/>
      <w:lvlJc w:val="left"/>
      <w:pPr>
        <w:ind w:left="720" w:hanging="360"/>
      </w:pPr>
      <w:rPr>
        <w:rFonts w:hint="default" w:ascii="Symbol" w:hAnsi="Symbol"/>
      </w:rPr>
    </w:lvl>
    <w:lvl w:ilvl="1" w:tplc="D4660056">
      <w:start w:val="1"/>
      <w:numFmt w:val="bullet"/>
      <w:lvlText w:val="o"/>
      <w:lvlJc w:val="left"/>
      <w:pPr>
        <w:ind w:left="1440" w:hanging="360"/>
      </w:pPr>
      <w:rPr>
        <w:rFonts w:hint="default" w:ascii="Courier New" w:hAnsi="Courier New"/>
      </w:rPr>
    </w:lvl>
    <w:lvl w:ilvl="2" w:tplc="315AB57A">
      <w:start w:val="1"/>
      <w:numFmt w:val="bullet"/>
      <w:lvlText w:val=""/>
      <w:lvlJc w:val="left"/>
      <w:pPr>
        <w:ind w:left="2160" w:hanging="360"/>
      </w:pPr>
      <w:rPr>
        <w:rFonts w:hint="default" w:ascii="Wingdings" w:hAnsi="Wingdings"/>
      </w:rPr>
    </w:lvl>
    <w:lvl w:ilvl="3" w:tplc="A2E490A8">
      <w:start w:val="1"/>
      <w:numFmt w:val="bullet"/>
      <w:lvlText w:val=""/>
      <w:lvlJc w:val="left"/>
      <w:pPr>
        <w:ind w:left="2880" w:hanging="360"/>
      </w:pPr>
      <w:rPr>
        <w:rFonts w:hint="default" w:ascii="Symbol" w:hAnsi="Symbol"/>
      </w:rPr>
    </w:lvl>
    <w:lvl w:ilvl="4" w:tplc="109809D4">
      <w:start w:val="1"/>
      <w:numFmt w:val="bullet"/>
      <w:lvlText w:val="o"/>
      <w:lvlJc w:val="left"/>
      <w:pPr>
        <w:ind w:left="3600" w:hanging="360"/>
      </w:pPr>
      <w:rPr>
        <w:rFonts w:hint="default" w:ascii="Courier New" w:hAnsi="Courier New"/>
      </w:rPr>
    </w:lvl>
    <w:lvl w:ilvl="5" w:tplc="86ACD612">
      <w:start w:val="1"/>
      <w:numFmt w:val="bullet"/>
      <w:lvlText w:val=""/>
      <w:lvlJc w:val="left"/>
      <w:pPr>
        <w:ind w:left="4320" w:hanging="360"/>
      </w:pPr>
      <w:rPr>
        <w:rFonts w:hint="default" w:ascii="Wingdings" w:hAnsi="Wingdings"/>
      </w:rPr>
    </w:lvl>
    <w:lvl w:ilvl="6" w:tplc="26D2C660">
      <w:start w:val="1"/>
      <w:numFmt w:val="bullet"/>
      <w:lvlText w:val=""/>
      <w:lvlJc w:val="left"/>
      <w:pPr>
        <w:ind w:left="5040" w:hanging="360"/>
      </w:pPr>
      <w:rPr>
        <w:rFonts w:hint="default" w:ascii="Symbol" w:hAnsi="Symbol"/>
      </w:rPr>
    </w:lvl>
    <w:lvl w:ilvl="7" w:tplc="C3DC43BE">
      <w:start w:val="1"/>
      <w:numFmt w:val="bullet"/>
      <w:lvlText w:val="o"/>
      <w:lvlJc w:val="left"/>
      <w:pPr>
        <w:ind w:left="5760" w:hanging="360"/>
      </w:pPr>
      <w:rPr>
        <w:rFonts w:hint="default" w:ascii="Courier New" w:hAnsi="Courier New"/>
      </w:rPr>
    </w:lvl>
    <w:lvl w:ilvl="8" w:tplc="4AD0A5A4">
      <w:start w:val="1"/>
      <w:numFmt w:val="bullet"/>
      <w:lvlText w:val=""/>
      <w:lvlJc w:val="left"/>
      <w:pPr>
        <w:ind w:left="6480" w:hanging="360"/>
      </w:pPr>
      <w:rPr>
        <w:rFonts w:hint="default" w:ascii="Wingdings" w:hAnsi="Wingdings"/>
      </w:rPr>
    </w:lvl>
  </w:abstractNum>
  <w:abstractNum w:abstractNumId="5" w15:restartNumberingAfterBreak="0">
    <w:nsid w:val="45C01A5E"/>
    <w:multiLevelType w:val="hybridMultilevel"/>
    <w:tmpl w:val="52F011A2"/>
    <w:lvl w:ilvl="0" w:tplc="ED9C2F18">
      <w:start w:val="1"/>
      <w:numFmt w:val="decimal"/>
      <w:lvlText w:val="%1."/>
      <w:lvlJc w:val="left"/>
      <w:pPr>
        <w:ind w:left="720" w:hanging="360"/>
      </w:pPr>
    </w:lvl>
    <w:lvl w:ilvl="1" w:tplc="FEE8C988">
      <w:start w:val="1"/>
      <w:numFmt w:val="lowerLetter"/>
      <w:lvlText w:val="%2."/>
      <w:lvlJc w:val="left"/>
      <w:pPr>
        <w:ind w:left="1440" w:hanging="360"/>
      </w:pPr>
    </w:lvl>
    <w:lvl w:ilvl="2" w:tplc="F47E4E80">
      <w:start w:val="1"/>
      <w:numFmt w:val="lowerRoman"/>
      <w:lvlText w:val="%3."/>
      <w:lvlJc w:val="right"/>
      <w:pPr>
        <w:ind w:left="2160" w:hanging="180"/>
      </w:pPr>
    </w:lvl>
    <w:lvl w:ilvl="3" w:tplc="1338BC1E">
      <w:start w:val="1"/>
      <w:numFmt w:val="decimal"/>
      <w:lvlText w:val="%4."/>
      <w:lvlJc w:val="left"/>
      <w:pPr>
        <w:ind w:left="2880" w:hanging="360"/>
      </w:pPr>
    </w:lvl>
    <w:lvl w:ilvl="4" w:tplc="4086DDF0">
      <w:start w:val="1"/>
      <w:numFmt w:val="lowerLetter"/>
      <w:lvlText w:val="%5."/>
      <w:lvlJc w:val="left"/>
      <w:pPr>
        <w:ind w:left="3600" w:hanging="360"/>
      </w:pPr>
    </w:lvl>
    <w:lvl w:ilvl="5" w:tplc="BD307BD8">
      <w:start w:val="1"/>
      <w:numFmt w:val="lowerRoman"/>
      <w:lvlText w:val="%6."/>
      <w:lvlJc w:val="right"/>
      <w:pPr>
        <w:ind w:left="4320" w:hanging="180"/>
      </w:pPr>
    </w:lvl>
    <w:lvl w:ilvl="6" w:tplc="804EC290">
      <w:start w:val="1"/>
      <w:numFmt w:val="decimal"/>
      <w:lvlText w:val="%7."/>
      <w:lvlJc w:val="left"/>
      <w:pPr>
        <w:ind w:left="5040" w:hanging="360"/>
      </w:pPr>
    </w:lvl>
    <w:lvl w:ilvl="7" w:tplc="80162EE0">
      <w:start w:val="1"/>
      <w:numFmt w:val="lowerLetter"/>
      <w:lvlText w:val="%8."/>
      <w:lvlJc w:val="left"/>
      <w:pPr>
        <w:ind w:left="5760" w:hanging="360"/>
      </w:pPr>
    </w:lvl>
    <w:lvl w:ilvl="8" w:tplc="96A81254">
      <w:start w:val="1"/>
      <w:numFmt w:val="lowerRoman"/>
      <w:lvlText w:val="%9."/>
      <w:lvlJc w:val="right"/>
      <w:pPr>
        <w:ind w:left="6480" w:hanging="180"/>
      </w:pPr>
    </w:lvl>
  </w:abstractNum>
  <w:abstractNum w:abstractNumId="6" w15:restartNumberingAfterBreak="0">
    <w:nsid w:val="6963BC33"/>
    <w:multiLevelType w:val="hybridMultilevel"/>
    <w:tmpl w:val="7568AA72"/>
    <w:lvl w:ilvl="0" w:tplc="53DEC8E4">
      <w:start w:val="1"/>
      <w:numFmt w:val="bullet"/>
      <w:lvlText w:val=""/>
      <w:lvlJc w:val="left"/>
      <w:pPr>
        <w:ind w:left="720" w:hanging="360"/>
      </w:pPr>
      <w:rPr>
        <w:rFonts w:hint="default" w:ascii="Symbol" w:hAnsi="Symbol"/>
      </w:rPr>
    </w:lvl>
    <w:lvl w:ilvl="1" w:tplc="90AC9EE0">
      <w:start w:val="1"/>
      <w:numFmt w:val="bullet"/>
      <w:lvlText w:val="o"/>
      <w:lvlJc w:val="left"/>
      <w:pPr>
        <w:ind w:left="1440" w:hanging="360"/>
      </w:pPr>
      <w:rPr>
        <w:rFonts w:hint="default" w:ascii="Courier New" w:hAnsi="Courier New"/>
      </w:rPr>
    </w:lvl>
    <w:lvl w:ilvl="2" w:tplc="77BE130E">
      <w:start w:val="1"/>
      <w:numFmt w:val="bullet"/>
      <w:lvlText w:val=""/>
      <w:lvlJc w:val="left"/>
      <w:pPr>
        <w:ind w:left="2160" w:hanging="360"/>
      </w:pPr>
      <w:rPr>
        <w:rFonts w:hint="default" w:ascii="Wingdings" w:hAnsi="Wingdings"/>
      </w:rPr>
    </w:lvl>
    <w:lvl w:ilvl="3" w:tplc="5CFA3F56">
      <w:start w:val="1"/>
      <w:numFmt w:val="bullet"/>
      <w:lvlText w:val=""/>
      <w:lvlJc w:val="left"/>
      <w:pPr>
        <w:ind w:left="2880" w:hanging="360"/>
      </w:pPr>
      <w:rPr>
        <w:rFonts w:hint="default" w:ascii="Symbol" w:hAnsi="Symbol"/>
      </w:rPr>
    </w:lvl>
    <w:lvl w:ilvl="4" w:tplc="4D6CB06A">
      <w:start w:val="1"/>
      <w:numFmt w:val="bullet"/>
      <w:lvlText w:val="o"/>
      <w:lvlJc w:val="left"/>
      <w:pPr>
        <w:ind w:left="3600" w:hanging="360"/>
      </w:pPr>
      <w:rPr>
        <w:rFonts w:hint="default" w:ascii="Courier New" w:hAnsi="Courier New"/>
      </w:rPr>
    </w:lvl>
    <w:lvl w:ilvl="5" w:tplc="563E2318">
      <w:start w:val="1"/>
      <w:numFmt w:val="bullet"/>
      <w:lvlText w:val=""/>
      <w:lvlJc w:val="left"/>
      <w:pPr>
        <w:ind w:left="4320" w:hanging="360"/>
      </w:pPr>
      <w:rPr>
        <w:rFonts w:hint="default" w:ascii="Wingdings" w:hAnsi="Wingdings"/>
      </w:rPr>
    </w:lvl>
    <w:lvl w:ilvl="6" w:tplc="AD1ED544">
      <w:start w:val="1"/>
      <w:numFmt w:val="bullet"/>
      <w:lvlText w:val=""/>
      <w:lvlJc w:val="left"/>
      <w:pPr>
        <w:ind w:left="5040" w:hanging="360"/>
      </w:pPr>
      <w:rPr>
        <w:rFonts w:hint="default" w:ascii="Symbol" w:hAnsi="Symbol"/>
      </w:rPr>
    </w:lvl>
    <w:lvl w:ilvl="7" w:tplc="3188ADC8">
      <w:start w:val="1"/>
      <w:numFmt w:val="bullet"/>
      <w:lvlText w:val="o"/>
      <w:lvlJc w:val="left"/>
      <w:pPr>
        <w:ind w:left="5760" w:hanging="360"/>
      </w:pPr>
      <w:rPr>
        <w:rFonts w:hint="default" w:ascii="Courier New" w:hAnsi="Courier New"/>
      </w:rPr>
    </w:lvl>
    <w:lvl w:ilvl="8" w:tplc="503ED388">
      <w:start w:val="1"/>
      <w:numFmt w:val="bullet"/>
      <w:lvlText w:val=""/>
      <w:lvlJc w:val="left"/>
      <w:pPr>
        <w:ind w:left="6480" w:hanging="360"/>
      </w:pPr>
      <w:rPr>
        <w:rFonts w:hint="default" w:ascii="Wingdings" w:hAnsi="Wingdings"/>
      </w:rPr>
    </w:lvl>
  </w:abstractNum>
  <w:abstractNum w:abstractNumId="7" w15:restartNumberingAfterBreak="0">
    <w:nsid w:val="6AC38612"/>
    <w:multiLevelType w:val="hybridMultilevel"/>
    <w:tmpl w:val="2C6ED252"/>
    <w:lvl w:ilvl="0" w:tplc="2BCE05B6">
      <w:start w:val="1"/>
      <w:numFmt w:val="bullet"/>
      <w:lvlText w:val=""/>
      <w:lvlJc w:val="left"/>
      <w:pPr>
        <w:ind w:left="720" w:hanging="360"/>
      </w:pPr>
      <w:rPr>
        <w:rFonts w:hint="default" w:ascii="Symbol" w:hAnsi="Symbol"/>
      </w:rPr>
    </w:lvl>
    <w:lvl w:ilvl="1" w:tplc="738052A0">
      <w:start w:val="1"/>
      <w:numFmt w:val="bullet"/>
      <w:lvlText w:val="o"/>
      <w:lvlJc w:val="left"/>
      <w:pPr>
        <w:ind w:left="1440" w:hanging="360"/>
      </w:pPr>
      <w:rPr>
        <w:rFonts w:hint="default" w:ascii="Courier New" w:hAnsi="Courier New"/>
      </w:rPr>
    </w:lvl>
    <w:lvl w:ilvl="2" w:tplc="3274EF98">
      <w:start w:val="1"/>
      <w:numFmt w:val="bullet"/>
      <w:lvlText w:val=""/>
      <w:lvlJc w:val="left"/>
      <w:pPr>
        <w:ind w:left="2160" w:hanging="360"/>
      </w:pPr>
      <w:rPr>
        <w:rFonts w:hint="default" w:ascii="Wingdings" w:hAnsi="Wingdings"/>
      </w:rPr>
    </w:lvl>
    <w:lvl w:ilvl="3" w:tplc="38380574">
      <w:start w:val="1"/>
      <w:numFmt w:val="bullet"/>
      <w:lvlText w:val=""/>
      <w:lvlJc w:val="left"/>
      <w:pPr>
        <w:ind w:left="2880" w:hanging="360"/>
      </w:pPr>
      <w:rPr>
        <w:rFonts w:hint="default" w:ascii="Symbol" w:hAnsi="Symbol"/>
      </w:rPr>
    </w:lvl>
    <w:lvl w:ilvl="4" w:tplc="9CEEE136">
      <w:start w:val="1"/>
      <w:numFmt w:val="bullet"/>
      <w:lvlText w:val="o"/>
      <w:lvlJc w:val="left"/>
      <w:pPr>
        <w:ind w:left="3600" w:hanging="360"/>
      </w:pPr>
      <w:rPr>
        <w:rFonts w:hint="default" w:ascii="Courier New" w:hAnsi="Courier New"/>
      </w:rPr>
    </w:lvl>
    <w:lvl w:ilvl="5" w:tplc="62D4F9B6">
      <w:start w:val="1"/>
      <w:numFmt w:val="bullet"/>
      <w:lvlText w:val=""/>
      <w:lvlJc w:val="left"/>
      <w:pPr>
        <w:ind w:left="4320" w:hanging="360"/>
      </w:pPr>
      <w:rPr>
        <w:rFonts w:hint="default" w:ascii="Wingdings" w:hAnsi="Wingdings"/>
      </w:rPr>
    </w:lvl>
    <w:lvl w:ilvl="6" w:tplc="6A0CA936">
      <w:start w:val="1"/>
      <w:numFmt w:val="bullet"/>
      <w:lvlText w:val=""/>
      <w:lvlJc w:val="left"/>
      <w:pPr>
        <w:ind w:left="5040" w:hanging="360"/>
      </w:pPr>
      <w:rPr>
        <w:rFonts w:hint="default" w:ascii="Symbol" w:hAnsi="Symbol"/>
      </w:rPr>
    </w:lvl>
    <w:lvl w:ilvl="7" w:tplc="E5F8FAE6">
      <w:start w:val="1"/>
      <w:numFmt w:val="bullet"/>
      <w:lvlText w:val="o"/>
      <w:lvlJc w:val="left"/>
      <w:pPr>
        <w:ind w:left="5760" w:hanging="360"/>
      </w:pPr>
      <w:rPr>
        <w:rFonts w:hint="default" w:ascii="Courier New" w:hAnsi="Courier New"/>
      </w:rPr>
    </w:lvl>
    <w:lvl w:ilvl="8" w:tplc="E5BCFAF8">
      <w:start w:val="1"/>
      <w:numFmt w:val="bullet"/>
      <w:lvlText w:val=""/>
      <w:lvlJc w:val="left"/>
      <w:pPr>
        <w:ind w:left="6480" w:hanging="360"/>
      </w:pPr>
      <w:rPr>
        <w:rFonts w:hint="default" w:ascii="Wingdings" w:hAnsi="Wingdings"/>
      </w:rPr>
    </w:lvl>
  </w:abstractNum>
  <w:abstractNum w:abstractNumId="8" w15:restartNumberingAfterBreak="0">
    <w:nsid w:val="762DFD87"/>
    <w:multiLevelType w:val="hybridMultilevel"/>
    <w:tmpl w:val="D5ACD930"/>
    <w:lvl w:ilvl="0" w:tplc="9112F4BC">
      <w:start w:val="1"/>
      <w:numFmt w:val="bullet"/>
      <w:lvlText w:val=""/>
      <w:lvlJc w:val="left"/>
      <w:pPr>
        <w:ind w:left="720" w:hanging="360"/>
      </w:pPr>
      <w:rPr>
        <w:rFonts w:hint="default" w:ascii="Symbol" w:hAnsi="Symbol"/>
      </w:rPr>
    </w:lvl>
    <w:lvl w:ilvl="1" w:tplc="62CE0C76">
      <w:start w:val="1"/>
      <w:numFmt w:val="bullet"/>
      <w:lvlText w:val="o"/>
      <w:lvlJc w:val="left"/>
      <w:pPr>
        <w:ind w:left="1440" w:hanging="360"/>
      </w:pPr>
      <w:rPr>
        <w:rFonts w:hint="default" w:ascii="Courier New" w:hAnsi="Courier New"/>
      </w:rPr>
    </w:lvl>
    <w:lvl w:ilvl="2" w:tplc="6C14AB24">
      <w:start w:val="1"/>
      <w:numFmt w:val="bullet"/>
      <w:lvlText w:val=""/>
      <w:lvlJc w:val="left"/>
      <w:pPr>
        <w:ind w:left="2160" w:hanging="360"/>
      </w:pPr>
      <w:rPr>
        <w:rFonts w:hint="default" w:ascii="Wingdings" w:hAnsi="Wingdings"/>
      </w:rPr>
    </w:lvl>
    <w:lvl w:ilvl="3" w:tplc="FEEAE00C">
      <w:start w:val="1"/>
      <w:numFmt w:val="bullet"/>
      <w:lvlText w:val=""/>
      <w:lvlJc w:val="left"/>
      <w:pPr>
        <w:ind w:left="2880" w:hanging="360"/>
      </w:pPr>
      <w:rPr>
        <w:rFonts w:hint="default" w:ascii="Symbol" w:hAnsi="Symbol"/>
      </w:rPr>
    </w:lvl>
    <w:lvl w:ilvl="4" w:tplc="EDB62068">
      <w:start w:val="1"/>
      <w:numFmt w:val="bullet"/>
      <w:lvlText w:val="o"/>
      <w:lvlJc w:val="left"/>
      <w:pPr>
        <w:ind w:left="3600" w:hanging="360"/>
      </w:pPr>
      <w:rPr>
        <w:rFonts w:hint="default" w:ascii="Courier New" w:hAnsi="Courier New"/>
      </w:rPr>
    </w:lvl>
    <w:lvl w:ilvl="5" w:tplc="86143EC2">
      <w:start w:val="1"/>
      <w:numFmt w:val="bullet"/>
      <w:lvlText w:val=""/>
      <w:lvlJc w:val="left"/>
      <w:pPr>
        <w:ind w:left="4320" w:hanging="360"/>
      </w:pPr>
      <w:rPr>
        <w:rFonts w:hint="default" w:ascii="Wingdings" w:hAnsi="Wingdings"/>
      </w:rPr>
    </w:lvl>
    <w:lvl w:ilvl="6" w:tplc="E52E9B4C">
      <w:start w:val="1"/>
      <w:numFmt w:val="bullet"/>
      <w:lvlText w:val=""/>
      <w:lvlJc w:val="left"/>
      <w:pPr>
        <w:ind w:left="5040" w:hanging="360"/>
      </w:pPr>
      <w:rPr>
        <w:rFonts w:hint="default" w:ascii="Symbol" w:hAnsi="Symbol"/>
      </w:rPr>
    </w:lvl>
    <w:lvl w:ilvl="7" w:tplc="4A2A8B30">
      <w:start w:val="1"/>
      <w:numFmt w:val="bullet"/>
      <w:lvlText w:val="o"/>
      <w:lvlJc w:val="left"/>
      <w:pPr>
        <w:ind w:left="5760" w:hanging="360"/>
      </w:pPr>
      <w:rPr>
        <w:rFonts w:hint="default" w:ascii="Courier New" w:hAnsi="Courier New"/>
      </w:rPr>
    </w:lvl>
    <w:lvl w:ilvl="8" w:tplc="3EDCE41C">
      <w:start w:val="1"/>
      <w:numFmt w:val="bullet"/>
      <w:lvlText w:val=""/>
      <w:lvlJc w:val="left"/>
      <w:pPr>
        <w:ind w:left="6480" w:hanging="360"/>
      </w:pPr>
      <w:rPr>
        <w:rFonts w:hint="default" w:ascii="Wingdings" w:hAnsi="Wingdings"/>
      </w:rPr>
    </w:lvl>
  </w:abstractNum>
  <w:abstractNum w:abstractNumId="9" w15:restartNumberingAfterBreak="0">
    <w:nsid w:val="798F2F2E"/>
    <w:multiLevelType w:val="hybridMultilevel"/>
    <w:tmpl w:val="83141E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27827286">
    <w:abstractNumId w:val="5"/>
  </w:num>
  <w:num w:numId="2" w16cid:durableId="517474668">
    <w:abstractNumId w:val="6"/>
  </w:num>
  <w:num w:numId="3" w16cid:durableId="1951546660">
    <w:abstractNumId w:val="0"/>
  </w:num>
  <w:num w:numId="4" w16cid:durableId="817913842">
    <w:abstractNumId w:val="4"/>
  </w:num>
  <w:num w:numId="5" w16cid:durableId="1317151621">
    <w:abstractNumId w:val="1"/>
  </w:num>
  <w:num w:numId="6" w16cid:durableId="216358215">
    <w:abstractNumId w:val="7"/>
  </w:num>
  <w:num w:numId="7" w16cid:durableId="1119304574">
    <w:abstractNumId w:val="8"/>
  </w:num>
  <w:num w:numId="8" w16cid:durableId="353503575">
    <w:abstractNumId w:val="2"/>
  </w:num>
  <w:num w:numId="9" w16cid:durableId="1188061665">
    <w:abstractNumId w:val="3"/>
  </w:num>
  <w:num w:numId="10" w16cid:durableId="68583490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842394"/>
    <w:rsid w:val="00030AB7"/>
    <w:rsid w:val="001467F6"/>
    <w:rsid w:val="00177353"/>
    <w:rsid w:val="00370209"/>
    <w:rsid w:val="005D7903"/>
    <w:rsid w:val="00637F25"/>
    <w:rsid w:val="00800245"/>
    <w:rsid w:val="00800446"/>
    <w:rsid w:val="00C8712E"/>
    <w:rsid w:val="00D00040"/>
    <w:rsid w:val="00DD2973"/>
    <w:rsid w:val="00EA35F2"/>
    <w:rsid w:val="00ED2A36"/>
    <w:rsid w:val="0D1BC13D"/>
    <w:rsid w:val="0E6B3CF0"/>
    <w:rsid w:val="113B549B"/>
    <w:rsid w:val="114A4E25"/>
    <w:rsid w:val="119D34FF"/>
    <w:rsid w:val="1296BE48"/>
    <w:rsid w:val="14854FE5"/>
    <w:rsid w:val="181E3B4A"/>
    <w:rsid w:val="18BC8C18"/>
    <w:rsid w:val="1F7AD1FF"/>
    <w:rsid w:val="21D98647"/>
    <w:rsid w:val="2BFD3328"/>
    <w:rsid w:val="355D2A5B"/>
    <w:rsid w:val="3E332F2F"/>
    <w:rsid w:val="40008D48"/>
    <w:rsid w:val="42972575"/>
    <w:rsid w:val="435F3BFC"/>
    <w:rsid w:val="463BB9DA"/>
    <w:rsid w:val="47C19E2A"/>
    <w:rsid w:val="4D8EDE11"/>
    <w:rsid w:val="4F408EB6"/>
    <w:rsid w:val="53597AB8"/>
    <w:rsid w:val="55922CBD"/>
    <w:rsid w:val="5C2A5A7B"/>
    <w:rsid w:val="66954076"/>
    <w:rsid w:val="67900E52"/>
    <w:rsid w:val="70D9A877"/>
    <w:rsid w:val="74595096"/>
    <w:rsid w:val="74842394"/>
    <w:rsid w:val="761BF381"/>
    <w:rsid w:val="79AA3338"/>
    <w:rsid w:val="79DBBB1A"/>
    <w:rsid w:val="7FCE8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42394"/>
  <w15:chartTrackingRefBased/>
  <w15:docId w15:val="{ABCD7606-3358-4A9E-84C5-607EA408B0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114A4E2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114A4E25"/>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14A4E25"/>
    <w:pPr>
      <w:ind w:left="720"/>
      <w:contextualSpacing/>
    </w:pPr>
  </w:style>
  <w:style w:type="character" w:styleId="Hyperlink">
    <w:name w:val="Hyperlink"/>
    <w:basedOn w:val="DefaultParagraphFont"/>
    <w:uiPriority w:val="99"/>
    <w:unhideWhenUsed/>
    <w:rsid w:val="114A4E25"/>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370209"/>
    <w:rPr>
      <w:color w:val="96607D" w:themeColor="followedHyperlink"/>
      <w:u w:val="single"/>
    </w:rPr>
  </w:style>
  <w:style w:type="character" w:styleId="PlaceholderText">
    <w:name w:val="Placeholder Text"/>
    <w:basedOn w:val="DefaultParagraphFont"/>
    <w:uiPriority w:val="99"/>
    <w:semiHidden/>
    <w:rsid w:val="00800446"/>
    <w:rPr>
      <w:color w:val="666666"/>
    </w:rPr>
  </w:style>
  <w:style w:type="paragraph" w:styleId="PlainText">
    <w:name w:val="Plain Text"/>
    <w:basedOn w:val="Normal"/>
    <w:link w:val="PlainTextChar"/>
    <w:uiPriority w:val="99"/>
    <w:unhideWhenUsed/>
    <w:rsid w:val="001467F6"/>
    <w:pPr>
      <w:spacing w:after="0" w:line="240" w:lineRule="auto"/>
    </w:pPr>
    <w:rPr>
      <w:rFonts w:ascii="Consolas" w:hAnsi="Consolas" w:eastAsiaTheme="minorHAnsi"/>
      <w:kern w:val="2"/>
      <w:sz w:val="21"/>
      <w:szCs w:val="21"/>
      <w:lang w:eastAsia="en-US"/>
      <w14:ligatures w14:val="standardContextual"/>
    </w:rPr>
  </w:style>
  <w:style w:type="character" w:styleId="PlainTextChar" w:customStyle="1">
    <w:name w:val="Plain Text Char"/>
    <w:basedOn w:val="DefaultParagraphFont"/>
    <w:link w:val="PlainText"/>
    <w:uiPriority w:val="99"/>
    <w:rsid w:val="001467F6"/>
    <w:rPr>
      <w:rFonts w:ascii="Consolas" w:hAnsi="Consolas" w:eastAsiaTheme="minorHAnsi"/>
      <w:kern w:val="2"/>
      <w:sz w:val="21"/>
      <w:szCs w:val="21"/>
      <w:lang w:eastAsia="en-US"/>
      <w14:ligatures w14:val="standardContextual"/>
    </w:rPr>
  </w:style>
  <w:style w:type="character" w:styleId="UnresolvedMention">
    <w:name w:val="Unresolved Mention"/>
    <w:basedOn w:val="DefaultParagraphFont"/>
    <w:uiPriority w:val="99"/>
    <w:semiHidden/>
    <w:unhideWhenUsed/>
    <w:rsid w:val="00ED2A36"/>
    <w:rPr>
      <w:color w:val="605E5C"/>
      <w:shd w:val="clear" w:color="auto" w:fill="E1DFDD"/>
    </w:rPr>
  </w:style>
  <w:style w:type="paragraph" w:styleId="Header">
    <w:name w:val="header"/>
    <w:basedOn w:val="Normal"/>
    <w:link w:val="HeaderChar"/>
    <w:uiPriority w:val="99"/>
    <w:unhideWhenUsed/>
    <w:rsid w:val="00ED2A36"/>
    <w:pPr>
      <w:tabs>
        <w:tab w:val="center" w:pos="4680"/>
        <w:tab w:val="right" w:pos="9360"/>
      </w:tabs>
      <w:spacing w:after="0" w:line="240" w:lineRule="auto"/>
    </w:pPr>
  </w:style>
  <w:style w:type="character" w:styleId="HeaderChar" w:customStyle="1">
    <w:name w:val="Header Char"/>
    <w:basedOn w:val="DefaultParagraphFont"/>
    <w:link w:val="Header"/>
    <w:uiPriority w:val="99"/>
    <w:rsid w:val="00ED2A36"/>
  </w:style>
  <w:style w:type="paragraph" w:styleId="Footer">
    <w:name w:val="footer"/>
    <w:basedOn w:val="Normal"/>
    <w:link w:val="FooterChar"/>
    <w:uiPriority w:val="99"/>
    <w:unhideWhenUsed/>
    <w:rsid w:val="00ED2A36"/>
    <w:pPr>
      <w:tabs>
        <w:tab w:val="center" w:pos="4680"/>
        <w:tab w:val="right" w:pos="9360"/>
      </w:tabs>
      <w:spacing w:after="0" w:line="240" w:lineRule="auto"/>
    </w:pPr>
  </w:style>
  <w:style w:type="character" w:styleId="FooterChar" w:customStyle="1">
    <w:name w:val="Footer Char"/>
    <w:basedOn w:val="DefaultParagraphFont"/>
    <w:link w:val="Footer"/>
    <w:uiPriority w:val="99"/>
    <w:rsid w:val="00ED2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hyperlink" Target="https://visioneval.github.io/docs/model-inputs.html"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hunter.lutz@vdot.virginia.gov</dc:creator>
  <keywords/>
  <dc:description/>
  <lastModifiedBy>hunter.lutz@vdot.virginia.gov</lastModifiedBy>
  <revision>5</revision>
  <dcterms:created xsi:type="dcterms:W3CDTF">2026-04-24T16:59:00.0000000Z</dcterms:created>
  <dcterms:modified xsi:type="dcterms:W3CDTF">2026-06-17T13:33:15.5963786Z</dcterms:modified>
</coreProperties>
</file>