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92477" w:rsidP="00517031" w:rsidRDefault="00092477" w14:paraId="56E8621F" w14:textId="05F00AD1">
      <w:pPr>
        <w:jc w:val="center"/>
        <w:rPr>
          <w:b/>
          <w:bCs/>
        </w:rPr>
      </w:pPr>
      <w:r w:rsidRPr="00092477">
        <w:rPr>
          <w:b/>
          <w:bCs/>
        </w:rPr>
        <w:t xml:space="preserve">Explanation of how to get data for </w:t>
      </w:r>
      <w:r w:rsidR="00352461">
        <w:rPr>
          <w:b/>
          <w:bCs/>
        </w:rPr>
        <w:t>22_</w:t>
      </w:r>
      <w:r w:rsidRPr="00092477">
        <w:rPr>
          <w:b/>
          <w:bCs/>
        </w:rPr>
        <w:t>bzone_employment.csv</w:t>
      </w:r>
    </w:p>
    <w:p w:rsidR="0081689B" w:rsidP="00517031" w:rsidRDefault="0081689B" w14:paraId="786F1A9A" w14:textId="346063C2">
      <w:pPr>
        <w:jc w:val="center"/>
        <w:rPr>
          <w:b/>
          <w:bCs/>
        </w:rPr>
      </w:pPr>
      <w:r>
        <w:rPr>
          <w:b/>
          <w:bCs/>
        </w:rPr>
        <w:t>March 10, 2026</w:t>
      </w:r>
    </w:p>
    <w:p w:rsidRPr="000D2CAD" w:rsidR="0081689B" w:rsidP="0081689B" w:rsidRDefault="0081689B" w14:paraId="2910A23B" w14:textId="77777777">
      <w:pPr>
        <w:tabs>
          <w:tab w:val="num" w:pos="720"/>
        </w:tabs>
        <w:spacing w:line="240" w:lineRule="auto"/>
        <w:rPr>
          <w:rFonts w:asciiTheme="majorHAnsi" w:hAnsiTheme="majorHAnsi" w:cstheme="majorHAnsi"/>
          <w:b/>
          <w:bCs/>
          <w:sz w:val="24"/>
          <w:szCs w:val="24"/>
        </w:rPr>
      </w:pPr>
      <w:r w:rsidRPr="000D2CAD">
        <w:rPr>
          <w:rFonts w:asciiTheme="majorHAnsi" w:hAnsiTheme="majorHAnsi" w:cstheme="majorHAnsi"/>
          <w:b/>
          <w:bCs/>
          <w:sz w:val="24"/>
          <w:szCs w:val="24"/>
        </w:rPr>
        <w:t>Definition of the Input File</w:t>
      </w:r>
    </w:p>
    <w:p w:rsidR="00E769EA" w:rsidP="00E769EA" w:rsidRDefault="0081689B" w14:paraId="32A606D7" w14:textId="57284951">
      <w:pPr>
        <w:tabs>
          <w:tab w:val="num" w:pos="720"/>
        </w:tabs>
        <w:spacing w:line="240" w:lineRule="auto"/>
        <w:rPr>
          <w:rFonts w:asciiTheme="majorHAnsi" w:hAnsiTheme="majorHAnsi" w:cstheme="majorHAnsi"/>
          <w:sz w:val="24"/>
          <w:szCs w:val="24"/>
        </w:rPr>
      </w:pPr>
      <w:r w:rsidRPr="000D2CAD">
        <w:rPr>
          <w:rFonts w:asciiTheme="majorHAnsi" w:hAnsiTheme="majorHAnsi" w:cstheme="majorHAnsi"/>
          <w:sz w:val="24"/>
          <w:szCs w:val="24"/>
        </w:rPr>
        <w:tab/>
      </w:r>
      <w:r w:rsidRPr="000D2CAD">
        <w:rPr>
          <w:rFonts w:asciiTheme="majorHAnsi" w:hAnsiTheme="majorHAnsi" w:cstheme="majorHAnsi"/>
          <w:sz w:val="24"/>
          <w:szCs w:val="24"/>
        </w:rPr>
        <w:t xml:space="preserve">VisionEval (https://visioneval.github.io/docs/model-inputs.html) explains that </w:t>
      </w:r>
      <w:r>
        <w:rPr>
          <w:rFonts w:asciiTheme="majorHAnsi" w:hAnsiTheme="majorHAnsi" w:cstheme="majorHAnsi"/>
          <w:sz w:val="24"/>
          <w:szCs w:val="24"/>
        </w:rPr>
        <w:t>this file has three types of employment--</w:t>
      </w:r>
      <w:r w:rsidRPr="0081689B">
        <w:rPr>
          <w:rFonts w:asciiTheme="majorHAnsi" w:hAnsiTheme="majorHAnsi" w:cstheme="majorHAnsi"/>
          <w:sz w:val="24"/>
          <w:szCs w:val="24"/>
        </w:rPr>
        <w:t>total, retail and service</w:t>
      </w:r>
      <w:r>
        <w:rPr>
          <w:rFonts w:asciiTheme="majorHAnsi" w:hAnsiTheme="majorHAnsi" w:cstheme="majorHAnsi"/>
          <w:sz w:val="24"/>
          <w:szCs w:val="24"/>
        </w:rPr>
        <w:t xml:space="preserve">—where the cagtegories are based on EPA’s </w:t>
      </w:r>
      <w:r w:rsidRPr="0081689B">
        <w:rPr>
          <w:rFonts w:asciiTheme="majorHAnsi" w:hAnsiTheme="majorHAnsi" w:cstheme="majorHAnsi"/>
          <w:sz w:val="24"/>
          <w:szCs w:val="24"/>
        </w:rPr>
        <w:t>Smart Location Database</w:t>
      </w:r>
      <w:r w:rsidR="00E769EA">
        <w:rPr>
          <w:rFonts w:asciiTheme="majorHAnsi" w:hAnsiTheme="majorHAnsi" w:cstheme="majorHAnsi"/>
          <w:sz w:val="24"/>
          <w:szCs w:val="24"/>
        </w:rPr>
        <w:t xml:space="preserve">.  These values are shown below for three </w:t>
      </w:r>
      <w:r w:rsidR="00352461">
        <w:rPr>
          <w:rFonts w:asciiTheme="majorHAnsi" w:hAnsiTheme="majorHAnsi" w:cstheme="majorHAnsi"/>
          <w:sz w:val="24"/>
          <w:szCs w:val="24"/>
        </w:rPr>
        <w:t>b</w:t>
      </w:r>
      <w:r w:rsidR="00E769EA">
        <w:rPr>
          <w:rFonts w:asciiTheme="majorHAnsi" w:hAnsiTheme="majorHAnsi" w:cstheme="majorHAnsi"/>
          <w:sz w:val="24"/>
          <w:szCs w:val="24"/>
        </w:rPr>
        <w:t xml:space="preserve">zones:   </w:t>
      </w:r>
      <w:r w:rsidRPr="000A5ADB" w:rsidR="00E769EA">
        <w:rPr>
          <w:rFonts w:asciiTheme="majorHAnsi" w:hAnsiTheme="majorHAnsi" w:cstheme="majorHAnsi"/>
          <w:sz w:val="24"/>
          <w:szCs w:val="24"/>
        </w:rPr>
        <w:t>515400010001</w:t>
      </w:r>
      <w:r w:rsidR="00E769EA">
        <w:rPr>
          <w:rFonts w:asciiTheme="majorHAnsi" w:hAnsiTheme="majorHAnsi" w:cstheme="majorHAnsi"/>
          <w:sz w:val="24"/>
          <w:szCs w:val="24"/>
        </w:rPr>
        <w:t xml:space="preserve"> (an urban area near Charlottesville’s downtown pedestrian mall)</w:t>
      </w:r>
      <w:r w:rsidR="00E769EA">
        <w:rPr>
          <w:rFonts w:asciiTheme="majorHAnsi" w:hAnsiTheme="majorHAnsi" w:cstheme="majorHAnsi"/>
          <w:sz w:val="24"/>
          <w:szCs w:val="24"/>
        </w:rPr>
        <w:t xml:space="preserve"> with large amounts of employment</w:t>
      </w:r>
      <w:r w:rsidR="00E769EA">
        <w:rPr>
          <w:rFonts w:asciiTheme="majorHAnsi" w:hAnsiTheme="majorHAnsi" w:cstheme="majorHAnsi"/>
          <w:sz w:val="24"/>
          <w:szCs w:val="24"/>
        </w:rPr>
        <w:t xml:space="preserve">, </w:t>
      </w:r>
      <w:r w:rsidRPr="000A5ADB" w:rsidR="00E769EA">
        <w:rPr>
          <w:rFonts w:asciiTheme="majorHAnsi" w:hAnsiTheme="majorHAnsi" w:cstheme="majorHAnsi"/>
          <w:sz w:val="24"/>
          <w:szCs w:val="24"/>
        </w:rPr>
        <w:t>510030107021</w:t>
      </w:r>
      <w:r w:rsidR="00E769EA">
        <w:rPr>
          <w:rFonts w:asciiTheme="majorHAnsi" w:hAnsiTheme="majorHAnsi" w:cstheme="majorHAnsi"/>
          <w:sz w:val="24"/>
          <w:szCs w:val="24"/>
        </w:rPr>
        <w:t xml:space="preserve"> (a suburban area near Route 29 in Albemarle County</w:t>
      </w:r>
      <w:r w:rsidR="00E769EA">
        <w:rPr>
          <w:rFonts w:asciiTheme="majorHAnsi" w:hAnsiTheme="majorHAnsi" w:cstheme="majorHAnsi"/>
          <w:sz w:val="24"/>
          <w:szCs w:val="24"/>
        </w:rPr>
        <w:t xml:space="preserve"> with some employment</w:t>
      </w:r>
      <w:r w:rsidR="00E769EA">
        <w:rPr>
          <w:rFonts w:asciiTheme="majorHAnsi" w:hAnsiTheme="majorHAnsi" w:cstheme="majorHAnsi"/>
          <w:sz w:val="24"/>
          <w:szCs w:val="24"/>
        </w:rPr>
        <w:t xml:space="preserve">), and </w:t>
      </w:r>
      <w:r w:rsidRPr="000A5ADB" w:rsidR="00E769EA">
        <w:rPr>
          <w:rFonts w:asciiTheme="majorHAnsi" w:hAnsiTheme="majorHAnsi" w:cstheme="majorHAnsi"/>
          <w:sz w:val="24"/>
          <w:szCs w:val="24"/>
        </w:rPr>
        <w:t>510030110004</w:t>
      </w:r>
      <w:r w:rsidR="00E769EA">
        <w:rPr>
          <w:rFonts w:asciiTheme="majorHAnsi" w:hAnsiTheme="majorHAnsi" w:cstheme="majorHAnsi"/>
          <w:sz w:val="24"/>
          <w:szCs w:val="24"/>
        </w:rPr>
        <w:t xml:space="preserve"> (a rural residential area in Albemarle County).</w:t>
      </w:r>
      <w:r w:rsidR="00352461">
        <w:rPr>
          <w:rFonts w:asciiTheme="majorHAnsi" w:hAnsiTheme="majorHAnsi" w:cstheme="majorHAnsi"/>
          <w:sz w:val="24"/>
          <w:szCs w:val="24"/>
        </w:rPr>
        <w:t xml:space="preserve">  Not surprisingly employment is largest in the most urban zone.</w:t>
      </w:r>
    </w:p>
    <w:p w:rsidRPr="000D2CAD" w:rsidR="00E769EA" w:rsidP="0081689B" w:rsidRDefault="00E769EA" w14:paraId="16FB677E" w14:textId="75D99E59">
      <w:pPr>
        <w:tabs>
          <w:tab w:val="num" w:pos="720"/>
        </w:tabs>
        <w:spacing w:line="240" w:lineRule="auto"/>
        <w:rPr>
          <w:rFonts w:asciiTheme="majorHAnsi" w:hAnsiTheme="majorHAnsi" w:cstheme="majorHAnsi"/>
          <w:sz w:val="24"/>
          <w:szCs w:val="24"/>
        </w:rPr>
      </w:pPr>
      <w:r w:rsidRPr="00E769EA">
        <w:rPr>
          <w:rFonts w:asciiTheme="majorHAnsi" w:hAnsiTheme="majorHAnsi" w:cstheme="majorHAnsi"/>
          <w:sz w:val="24"/>
          <w:szCs w:val="24"/>
        </w:rPr>
        <w:drawing>
          <wp:inline distT="0" distB="0" distL="0" distR="0" wp14:anchorId="389CA8C1" wp14:editId="1EB2662E">
            <wp:extent cx="2753109" cy="1352739"/>
            <wp:effectExtent l="0" t="0" r="0" b="0"/>
            <wp:docPr id="1217879918"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9918" name="Picture 1" descr="Table&#10;&#10;AI-generated content may be incorrect."/>
                    <pic:cNvPicPr/>
                  </pic:nvPicPr>
                  <pic:blipFill>
                    <a:blip r:embed="rId7"/>
                    <a:stretch>
                      <a:fillRect/>
                    </a:stretch>
                  </pic:blipFill>
                  <pic:spPr>
                    <a:xfrm>
                      <a:off x="0" y="0"/>
                      <a:ext cx="2753109" cy="1352739"/>
                    </a:xfrm>
                    <a:prstGeom prst="rect">
                      <a:avLst/>
                    </a:prstGeom>
                  </pic:spPr>
                </pic:pic>
              </a:graphicData>
            </a:graphic>
          </wp:inline>
        </w:drawing>
      </w:r>
    </w:p>
    <w:p w:rsidRPr="000D2CAD" w:rsidR="0081689B" w:rsidP="0081689B" w:rsidRDefault="0081689B" w14:paraId="18B45F4F" w14:textId="77777777">
      <w:pPr>
        <w:tabs>
          <w:tab w:val="num" w:pos="720"/>
        </w:tabs>
        <w:spacing w:line="240" w:lineRule="auto"/>
        <w:rPr>
          <w:rFonts w:asciiTheme="majorHAnsi" w:hAnsiTheme="majorHAnsi" w:cstheme="majorHAnsi"/>
          <w:b/>
          <w:bCs/>
          <w:noProof/>
          <w:sz w:val="24"/>
          <w:szCs w:val="24"/>
        </w:rPr>
      </w:pPr>
      <w:r w:rsidRPr="000D2CAD">
        <w:rPr>
          <w:rFonts w:asciiTheme="majorHAnsi" w:hAnsiTheme="majorHAnsi" w:cstheme="majorHAnsi"/>
          <w:b/>
          <w:bCs/>
          <w:noProof/>
          <w:sz w:val="24"/>
          <w:szCs w:val="24"/>
        </w:rPr>
        <w:t>Possible Scenario</w:t>
      </w:r>
    </w:p>
    <w:p w:rsidR="00352461" w:rsidP="32D11E0B" w:rsidRDefault="00352461" w14:paraId="6D2DFC47" w14:textId="08AE23B1">
      <w:pPr>
        <w:tabs>
          <w:tab w:val="num" w:pos="720"/>
        </w:tabs>
        <w:spacing w:line="240" w:lineRule="auto"/>
        <w:rPr>
          <w:rFonts w:ascii="Aptos Display" w:hAnsi="Aptos Display" w:cs="Aptos Display" w:asciiTheme="majorAscii" w:hAnsiTheme="majorAscii" w:cstheme="majorAscii"/>
          <w:noProof/>
          <w:sz w:val="24"/>
          <w:szCs w:val="24"/>
        </w:rPr>
      </w:pPr>
      <w:r>
        <w:rPr>
          <w:rFonts w:asciiTheme="majorHAnsi" w:hAnsiTheme="majorHAnsi" w:cstheme="majorHAnsi"/>
          <w:noProof/>
          <w:sz w:val="24"/>
          <w:szCs w:val="24"/>
        </w:rPr>
        <w:tab/>
      </w:r>
      <w:r w:rsidRPr="32D11E0B" w:rsidR="00352461">
        <w:rPr>
          <w:rFonts w:ascii="Aptos Display" w:hAnsi="Aptos Display" w:cs="Aptos Display" w:asciiTheme="majorAscii" w:hAnsiTheme="majorAscii" w:cstheme="majorAscii"/>
          <w:noProof/>
          <w:sz w:val="24"/>
          <w:szCs w:val="24"/>
        </w:rPr>
        <w:t xml:space="preserve">Transportation is a derived demand, and generally two of those drivers are population and employment, such that all other things being equal, one would expect some type of change in employment to increase travel demand.  However, as noted in </w:t>
      </w:r>
      <w:r w:rsidRPr="32D11E0B" w:rsidR="00352461">
        <w:rPr>
          <w:rFonts w:ascii="Aptos Display" w:hAnsi="Aptos Display" w:cs="Aptos Display" w:asciiTheme="majorAscii" w:hAnsiTheme="majorAscii" w:cstheme="majorAscii"/>
          <w:sz w:val="24"/>
          <w:szCs w:val="24"/>
        </w:rPr>
        <w:t>the</w:t>
      </w:r>
      <w:r w:rsidRPr="32D11E0B" w:rsidR="00352461">
        <w:rPr>
          <w:rFonts w:ascii="Aptos Display" w:hAnsi="Aptos Display" w:cs="Aptos Display" w:asciiTheme="majorAscii" w:hAnsiTheme="majorAscii" w:cstheme="majorAscii"/>
          <w:sz w:val="24"/>
          <w:szCs w:val="24"/>
        </w:rPr>
        <w:t> document Task 7.2 Simplified Scenario Development guide</w:t>
      </w:r>
      <w:r w:rsidRPr="32D11E0B" w:rsidR="00352461">
        <w:rPr>
          <w:rFonts w:ascii="Aptos Display" w:hAnsi="Aptos Display" w:cs="Aptos Display" w:asciiTheme="majorAscii" w:hAnsiTheme="majorAscii" w:cstheme="majorAscii"/>
          <w:sz w:val="24"/>
          <w:szCs w:val="24"/>
        </w:rPr>
        <w:t xml:space="preserve">, </w:t>
      </w:r>
      <w:r w:rsidRPr="32D11E0B" w:rsidR="00352461">
        <w:rPr>
          <w:rFonts w:ascii="Aptos Display" w:hAnsi="Aptos Display" w:cs="Aptos Display" w:asciiTheme="majorAscii" w:hAnsiTheme="majorAscii" w:cstheme="majorAscii"/>
          <w:sz w:val="24"/>
          <w:szCs w:val="24"/>
        </w:rPr>
        <w:t>available at </w:t>
      </w:r>
      <w:hyperlink r:id="R2e1edad943054001">
        <w:r w:rsidRPr="32D11E0B" w:rsidR="00352461">
          <w:rPr>
            <w:rStyle w:val="Hyperlink"/>
            <w:rFonts w:ascii="Aptos Display" w:hAnsi="Aptos Display" w:cs="Aptos Display" w:asciiTheme="majorAscii" w:hAnsiTheme="majorAscii" w:cstheme="majorAscii"/>
            <w:sz w:val="24"/>
            <w:szCs w:val="24"/>
          </w:rPr>
          <w:t>A Playbook for Simplified Approaches for Creating Scenarios in VisionEval</w:t>
        </w:r>
      </w:hyperlink>
      <w:r w:rsidR="00352461">
        <w:rPr/>
        <w:t xml:space="preserve">, employment also is a land use factor in that land use is based on, in part, the degree of mix.  Thus while one scenario is to see how an increase in employment without changing land use mix will increase VMT, emissions, congestion, and transit use, a second scenario is to see how redistribution of employment influences land use mix where in turn increases in the degree of land use mix could influence demand for </w:t>
      </w:r>
      <w:r w:rsidR="404047CB">
        <w:rPr/>
        <w:t>pedestrian</w:t>
      </w:r>
      <w:r w:rsidR="00352461">
        <w:rPr/>
        <w:t>, bicycle, or transit travel.</w:t>
      </w:r>
    </w:p>
    <w:p w:rsidRPr="00092477" w:rsidR="008836D2" w:rsidP="0081689B" w:rsidRDefault="0081689B" w14:paraId="22BBA88C" w14:textId="0746F404">
      <w:pPr>
        <w:rPr>
          <w:b/>
          <w:bCs/>
        </w:rPr>
      </w:pPr>
      <w:r w:rsidRPr="000D2CAD">
        <w:rPr>
          <w:rFonts w:asciiTheme="majorHAnsi" w:hAnsiTheme="majorHAnsi" w:cstheme="majorHAnsi"/>
          <w:b/>
          <w:bCs/>
          <w:sz w:val="24"/>
          <w:szCs w:val="24"/>
        </w:rPr>
        <w:t>Method Used for Virginia</w:t>
      </w:r>
    </w:p>
    <w:p w:rsidRPr="000D4F5F" w:rsidR="000D4F5F" w:rsidP="00092477" w:rsidRDefault="000D4F5F" w14:paraId="52755C02" w14:textId="4B524FBF">
      <w:pPr>
        <w:rPr>
          <w:i/>
          <w:iCs/>
        </w:rPr>
      </w:pPr>
      <w:r w:rsidRPr="000D4F5F">
        <w:rPr>
          <w:i/>
          <w:iCs/>
        </w:rPr>
        <w:t>Getting data for year 2022</w:t>
      </w:r>
    </w:p>
    <w:p w:rsidR="00092477" w:rsidP="00092477" w:rsidRDefault="00092477" w14:paraId="24F960E9" w14:textId="4222C80E">
      <w:pPr>
        <w:rPr>
          <w:rFonts w:ascii="Aptos Narrow" w:hAnsi="Aptos Narrow" w:eastAsia="Times New Roman" w:cs="Times New Roman"/>
          <w:color w:val="000000"/>
        </w:rPr>
      </w:pPr>
      <w:r>
        <w:t xml:space="preserve">Employment data were obtained from the </w:t>
      </w:r>
      <w:r w:rsidRPr="00CB42A8">
        <w:t>Longitudinal Employer-Household Dynamics</w:t>
      </w:r>
      <w:r>
        <w:t xml:space="preserve"> website which provides, at the block level, total jobs for year 2022 (U.S. Census Bureau, 2025).  Because blocks use 15 characters (e.g., blocks “510010901011006” and “510010901011011”) whereas block groups use 12 characters (e.g., both of these are in block group 510010901011), the data could readily be processed in Excel such that the </w:t>
      </w:r>
      <w:r w:rsidRPr="003F5F01">
        <w:t>3</w:t>
      </w:r>
      <w:r>
        <w:t>,</w:t>
      </w:r>
      <w:r w:rsidRPr="003F5F01">
        <w:t>793</w:t>
      </w:r>
      <w:r>
        <w:t>,</w:t>
      </w:r>
      <w:r w:rsidRPr="003F5F01">
        <w:t>766</w:t>
      </w:r>
      <w:r>
        <w:t xml:space="preserve"> Virginia jobs for year 2022 are organized by block group.  For example, for block group </w:t>
      </w:r>
      <w:r w:rsidRPr="003F5F01">
        <w:t>510010901012</w:t>
      </w:r>
      <w:r>
        <w:t xml:space="preserve">, the U.S. Census Bureau (2025) lists three blocks as shown in Table 1.  Thus, the total jobs for block group </w:t>
      </w:r>
      <w:r w:rsidRPr="003F5F01">
        <w:rPr>
          <w:rFonts w:ascii="Aptos Narrow" w:hAnsi="Aptos Narrow" w:eastAsia="Times New Roman" w:cs="Times New Roman"/>
          <w:color w:val="000000"/>
        </w:rPr>
        <w:t>51001090101</w:t>
      </w:r>
      <w:r w:rsidR="008B3429">
        <w:rPr>
          <w:rFonts w:ascii="Aptos Narrow" w:hAnsi="Aptos Narrow" w:eastAsia="Times New Roman" w:cs="Times New Roman"/>
          <w:color w:val="000000"/>
        </w:rPr>
        <w:t>2</w:t>
      </w:r>
      <w:r>
        <w:rPr>
          <w:rFonts w:ascii="Aptos Narrow" w:hAnsi="Aptos Narrow" w:eastAsia="Times New Roman" w:cs="Times New Roman"/>
          <w:color w:val="000000"/>
        </w:rPr>
        <w:t xml:space="preserve"> is 115+1+3=119.</w:t>
      </w:r>
    </w:p>
    <w:p w:rsidR="00092477" w:rsidP="00092477" w:rsidRDefault="00092477" w14:paraId="0E078DA2" w14:textId="77777777">
      <w:r>
        <w:rPr>
          <w:rFonts w:ascii="Aptos Narrow" w:hAnsi="Aptos Narrow" w:eastAsia="Times New Roman" w:cs="Times New Roman"/>
          <w:color w:val="000000"/>
        </w:rPr>
        <w:t>Table 1.  Example of Jobs Available from U.S. Census Bureau (2025)</w:t>
      </w:r>
    </w:p>
    <w:tbl>
      <w:tblPr>
        <w:tblW w:w="28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9"/>
        <w:gridCol w:w="960"/>
      </w:tblGrid>
      <w:tr w:rsidRPr="003F5F01" w:rsidR="00092477" w:rsidTr="00A8565E" w14:paraId="091CC42F" w14:textId="77777777">
        <w:trPr>
          <w:trHeight w:val="300"/>
        </w:trPr>
        <w:tc>
          <w:tcPr>
            <w:tcW w:w="1889" w:type="dxa"/>
            <w:noWrap/>
            <w:vAlign w:val="bottom"/>
          </w:tcPr>
          <w:p w:rsidRPr="003F5F01" w:rsidR="00092477" w:rsidP="00A8565E" w:rsidRDefault="00092477" w14:paraId="52D1422A" w14:textId="77777777">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Block</w:t>
            </w:r>
          </w:p>
        </w:tc>
        <w:tc>
          <w:tcPr>
            <w:tcW w:w="960" w:type="dxa"/>
            <w:noWrap/>
            <w:vAlign w:val="bottom"/>
          </w:tcPr>
          <w:p w:rsidRPr="003F5F01" w:rsidR="00092477" w:rsidP="00A8565E" w:rsidRDefault="00092477" w14:paraId="40E41595"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Jobs</w:t>
            </w:r>
          </w:p>
        </w:tc>
      </w:tr>
      <w:tr w:rsidRPr="003F5F01" w:rsidR="00092477" w:rsidTr="00A8565E" w14:paraId="60E9E93E" w14:textId="77777777">
        <w:trPr>
          <w:trHeight w:val="300"/>
        </w:trPr>
        <w:tc>
          <w:tcPr>
            <w:tcW w:w="1889" w:type="dxa"/>
            <w:noWrap/>
            <w:vAlign w:val="bottom"/>
            <w:hideMark/>
          </w:tcPr>
          <w:p w:rsidRPr="003F5F01" w:rsidR="00092477" w:rsidP="00A8565E" w:rsidRDefault="00092477" w14:paraId="2F9EE464" w14:textId="77777777">
            <w:pPr>
              <w:spacing w:after="0" w:line="240" w:lineRule="auto"/>
              <w:jc w:val="right"/>
              <w:rPr>
                <w:rFonts w:ascii="Aptos Narrow" w:hAnsi="Aptos Narrow" w:eastAsia="Times New Roman" w:cs="Times New Roman"/>
                <w:color w:val="000000"/>
              </w:rPr>
            </w:pPr>
            <w:r w:rsidRPr="008B3429">
              <w:rPr>
                <w:rFonts w:ascii="Aptos Narrow" w:hAnsi="Aptos Narrow" w:eastAsia="Times New Roman" w:cs="Times New Roman"/>
                <w:b/>
                <w:bCs/>
                <w:color w:val="000000"/>
              </w:rPr>
              <w:t>510010901012</w:t>
            </w:r>
            <w:r w:rsidRPr="003F5F01">
              <w:rPr>
                <w:rFonts w:ascii="Aptos Narrow" w:hAnsi="Aptos Narrow" w:eastAsia="Times New Roman" w:cs="Times New Roman"/>
                <w:color w:val="000000"/>
              </w:rPr>
              <w:t>000</w:t>
            </w:r>
          </w:p>
        </w:tc>
        <w:tc>
          <w:tcPr>
            <w:tcW w:w="960" w:type="dxa"/>
            <w:noWrap/>
            <w:vAlign w:val="bottom"/>
            <w:hideMark/>
          </w:tcPr>
          <w:p w:rsidRPr="003F5F01" w:rsidR="00092477" w:rsidP="00A8565E" w:rsidRDefault="00092477" w14:paraId="7DAC9555" w14:textId="77777777">
            <w:pPr>
              <w:spacing w:after="0" w:line="240" w:lineRule="auto"/>
              <w:jc w:val="right"/>
              <w:rPr>
                <w:rFonts w:ascii="Aptos Narrow" w:hAnsi="Aptos Narrow" w:eastAsia="Times New Roman" w:cs="Times New Roman"/>
                <w:color w:val="000000"/>
              </w:rPr>
            </w:pPr>
            <w:r w:rsidRPr="003F5F01">
              <w:rPr>
                <w:rFonts w:ascii="Aptos Narrow" w:hAnsi="Aptos Narrow" w:eastAsia="Times New Roman" w:cs="Times New Roman"/>
                <w:color w:val="000000"/>
              </w:rPr>
              <w:t>115</w:t>
            </w:r>
          </w:p>
        </w:tc>
      </w:tr>
      <w:tr w:rsidRPr="003F5F01" w:rsidR="00092477" w:rsidTr="00A8565E" w14:paraId="62F8A838" w14:textId="77777777">
        <w:trPr>
          <w:trHeight w:val="300"/>
        </w:trPr>
        <w:tc>
          <w:tcPr>
            <w:tcW w:w="1889" w:type="dxa"/>
            <w:noWrap/>
            <w:vAlign w:val="bottom"/>
            <w:hideMark/>
          </w:tcPr>
          <w:p w:rsidRPr="003F5F01" w:rsidR="00092477" w:rsidP="00A8565E" w:rsidRDefault="00092477" w14:paraId="08A5EA09" w14:textId="77777777">
            <w:pPr>
              <w:spacing w:after="0" w:line="240" w:lineRule="auto"/>
              <w:jc w:val="right"/>
              <w:rPr>
                <w:rFonts w:ascii="Aptos Narrow" w:hAnsi="Aptos Narrow" w:eastAsia="Times New Roman" w:cs="Times New Roman"/>
                <w:color w:val="000000"/>
              </w:rPr>
            </w:pPr>
            <w:r w:rsidRPr="008B3429">
              <w:rPr>
                <w:rFonts w:ascii="Aptos Narrow" w:hAnsi="Aptos Narrow" w:eastAsia="Times New Roman" w:cs="Times New Roman"/>
                <w:b/>
                <w:bCs/>
                <w:color w:val="000000"/>
              </w:rPr>
              <w:t>510010901012</w:t>
            </w:r>
            <w:r w:rsidRPr="003F5F01">
              <w:rPr>
                <w:rFonts w:ascii="Aptos Narrow" w:hAnsi="Aptos Narrow" w:eastAsia="Times New Roman" w:cs="Times New Roman"/>
                <w:color w:val="000000"/>
              </w:rPr>
              <w:t>010</w:t>
            </w:r>
          </w:p>
        </w:tc>
        <w:tc>
          <w:tcPr>
            <w:tcW w:w="960" w:type="dxa"/>
            <w:noWrap/>
            <w:vAlign w:val="bottom"/>
            <w:hideMark/>
          </w:tcPr>
          <w:p w:rsidRPr="003F5F01" w:rsidR="00092477" w:rsidP="00A8565E" w:rsidRDefault="00092477" w14:paraId="60100E12" w14:textId="77777777">
            <w:pPr>
              <w:spacing w:after="0" w:line="240" w:lineRule="auto"/>
              <w:jc w:val="right"/>
              <w:rPr>
                <w:rFonts w:ascii="Aptos Narrow" w:hAnsi="Aptos Narrow" w:eastAsia="Times New Roman" w:cs="Times New Roman"/>
                <w:color w:val="000000"/>
              </w:rPr>
            </w:pPr>
            <w:r w:rsidRPr="003F5F01">
              <w:rPr>
                <w:rFonts w:ascii="Aptos Narrow" w:hAnsi="Aptos Narrow" w:eastAsia="Times New Roman" w:cs="Times New Roman"/>
                <w:color w:val="000000"/>
              </w:rPr>
              <w:t>1</w:t>
            </w:r>
          </w:p>
        </w:tc>
      </w:tr>
      <w:tr w:rsidRPr="003F5F01" w:rsidR="00092477" w:rsidTr="00A8565E" w14:paraId="67179F62" w14:textId="77777777">
        <w:trPr>
          <w:trHeight w:val="300"/>
        </w:trPr>
        <w:tc>
          <w:tcPr>
            <w:tcW w:w="1889" w:type="dxa"/>
            <w:noWrap/>
            <w:vAlign w:val="bottom"/>
            <w:hideMark/>
          </w:tcPr>
          <w:p w:rsidRPr="003F5F01" w:rsidR="00092477" w:rsidP="00A8565E" w:rsidRDefault="00092477" w14:paraId="785A6AD2" w14:textId="77777777">
            <w:pPr>
              <w:spacing w:after="0" w:line="240" w:lineRule="auto"/>
              <w:jc w:val="right"/>
              <w:rPr>
                <w:rFonts w:ascii="Aptos Narrow" w:hAnsi="Aptos Narrow" w:eastAsia="Times New Roman" w:cs="Times New Roman"/>
                <w:color w:val="000000"/>
              </w:rPr>
            </w:pPr>
            <w:r w:rsidRPr="008B3429">
              <w:rPr>
                <w:rFonts w:ascii="Aptos Narrow" w:hAnsi="Aptos Narrow" w:eastAsia="Times New Roman" w:cs="Times New Roman"/>
                <w:b/>
                <w:bCs/>
                <w:color w:val="000000"/>
              </w:rPr>
              <w:t>510010901012</w:t>
            </w:r>
            <w:r w:rsidRPr="003F5F01">
              <w:rPr>
                <w:rFonts w:ascii="Aptos Narrow" w:hAnsi="Aptos Narrow" w:eastAsia="Times New Roman" w:cs="Times New Roman"/>
                <w:color w:val="000000"/>
              </w:rPr>
              <w:t>013</w:t>
            </w:r>
          </w:p>
        </w:tc>
        <w:tc>
          <w:tcPr>
            <w:tcW w:w="960" w:type="dxa"/>
            <w:noWrap/>
            <w:vAlign w:val="bottom"/>
            <w:hideMark/>
          </w:tcPr>
          <w:p w:rsidRPr="003F5F01" w:rsidR="00092477" w:rsidP="00A8565E" w:rsidRDefault="00092477" w14:paraId="3FC0EB82" w14:textId="77777777">
            <w:pPr>
              <w:spacing w:after="0" w:line="240" w:lineRule="auto"/>
              <w:jc w:val="right"/>
              <w:rPr>
                <w:rFonts w:ascii="Aptos Narrow" w:hAnsi="Aptos Narrow" w:eastAsia="Times New Roman" w:cs="Times New Roman"/>
                <w:color w:val="000000"/>
              </w:rPr>
            </w:pPr>
            <w:r w:rsidRPr="003F5F01">
              <w:rPr>
                <w:rFonts w:ascii="Aptos Narrow" w:hAnsi="Aptos Narrow" w:eastAsia="Times New Roman" w:cs="Times New Roman"/>
                <w:color w:val="000000"/>
              </w:rPr>
              <w:t>3</w:t>
            </w:r>
          </w:p>
        </w:tc>
      </w:tr>
    </w:tbl>
    <w:p w:rsidR="00092477" w:rsidP="00092477" w:rsidRDefault="00092477" w14:paraId="104A658B" w14:textId="77777777"/>
    <w:p w:rsidR="008B3429" w:rsidP="008B3429" w:rsidRDefault="008B3429" w14:paraId="29EFA0DE" w14:textId="048185EA">
      <w:r>
        <w:t>As shown in the VisionEval help menu (</w:t>
      </w:r>
      <w:r w:rsidRPr="008B3429">
        <w:t>https://visioneval.github.io/docs/model-inputs.html#verspm-bzone_employment.csv</w:t>
      </w:r>
      <w:r>
        <w:t xml:space="preserve">) retail employment is based on “Number of jobs in retail sector in zone (Census LEHD: CNS07)” and service employment is based on “(Census LEHD: CNS12 + CNS14 + CNS15 + CNS16 + CNS19).”  These attributes are given directly in the LEHD data.  Thus one ends up with </w:t>
      </w:r>
      <w:r w:rsidR="00695EEC">
        <w:t>Table 2</w:t>
      </w:r>
      <w:r>
        <w:t xml:space="preserve"> for year 2022 for bock group 510010901012</w:t>
      </w:r>
      <w:r w:rsidR="00695EEC">
        <w:t>.</w:t>
      </w:r>
    </w:p>
    <w:p w:rsidR="00695EEC" w:rsidP="008B3429" w:rsidRDefault="00695EEC" w14:paraId="378008E4" w14:textId="00787484">
      <w:r>
        <w:t>Table 2.  Total, Retail, and Service Employment for Block Group 510010901012</w:t>
      </w:r>
      <w:r w:rsidR="00517031">
        <w:t xml:space="preserve"> as of 2022</w:t>
      </w:r>
    </w:p>
    <w:tbl>
      <w:tblPr>
        <w:tblW w:w="47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9"/>
        <w:gridCol w:w="960"/>
        <w:gridCol w:w="960"/>
        <w:gridCol w:w="960"/>
      </w:tblGrid>
      <w:tr w:rsidRPr="003F5F01" w:rsidR="008B3429" w:rsidTr="008B3429" w14:paraId="663B5A43" w14:textId="658F51CA">
        <w:trPr>
          <w:trHeight w:val="300"/>
        </w:trPr>
        <w:tc>
          <w:tcPr>
            <w:tcW w:w="1889" w:type="dxa"/>
            <w:noWrap/>
            <w:vAlign w:val="bottom"/>
          </w:tcPr>
          <w:p w:rsidRPr="003F5F01" w:rsidR="008B3429" w:rsidP="00786E84" w:rsidRDefault="008B3429" w14:paraId="5B7AA8AA" w14:textId="68AD94BD">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Block Group</w:t>
            </w:r>
          </w:p>
        </w:tc>
        <w:tc>
          <w:tcPr>
            <w:tcW w:w="960" w:type="dxa"/>
            <w:noWrap/>
            <w:vAlign w:val="bottom"/>
          </w:tcPr>
          <w:p w:rsidRPr="003F5F01" w:rsidR="008B3429" w:rsidP="00786E84" w:rsidRDefault="008B3429" w14:paraId="0BA579B9" w14:textId="49634A1B">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TotEmp</w:t>
            </w:r>
          </w:p>
        </w:tc>
        <w:tc>
          <w:tcPr>
            <w:tcW w:w="960" w:type="dxa"/>
          </w:tcPr>
          <w:p w:rsidR="008B3429" w:rsidP="00786E84" w:rsidRDefault="008B3429" w14:paraId="034FDBFB" w14:textId="6C1E7FD1">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RetEmp</w:t>
            </w:r>
          </w:p>
        </w:tc>
        <w:tc>
          <w:tcPr>
            <w:tcW w:w="960" w:type="dxa"/>
          </w:tcPr>
          <w:p w:rsidR="008B3429" w:rsidP="00786E84" w:rsidRDefault="008B3429" w14:paraId="4641B1E9" w14:textId="433B757C">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SvcEmp</w:t>
            </w:r>
          </w:p>
        </w:tc>
      </w:tr>
      <w:tr w:rsidRPr="003F5F01" w:rsidR="008B3429" w:rsidTr="008B3429" w14:paraId="2A60D7F2" w14:textId="61531754">
        <w:trPr>
          <w:trHeight w:val="300"/>
        </w:trPr>
        <w:tc>
          <w:tcPr>
            <w:tcW w:w="1889" w:type="dxa"/>
            <w:noWrap/>
            <w:vAlign w:val="bottom"/>
          </w:tcPr>
          <w:p w:rsidRPr="003F5F01" w:rsidR="008B3429" w:rsidP="008B3429" w:rsidRDefault="008B3429" w14:paraId="0E02B50D" w14:textId="0EFB298D">
            <w:pPr>
              <w:spacing w:after="0" w:line="240" w:lineRule="auto"/>
              <w:rPr>
                <w:rFonts w:ascii="Aptos Narrow" w:hAnsi="Aptos Narrow" w:eastAsia="Times New Roman" w:cs="Times New Roman"/>
                <w:color w:val="000000"/>
              </w:rPr>
            </w:pPr>
            <w:r>
              <w:t>510010901012</w:t>
            </w:r>
          </w:p>
        </w:tc>
        <w:tc>
          <w:tcPr>
            <w:tcW w:w="960" w:type="dxa"/>
            <w:noWrap/>
            <w:vAlign w:val="bottom"/>
          </w:tcPr>
          <w:p w:rsidRPr="003F5F01" w:rsidR="008B3429" w:rsidP="00786E84" w:rsidRDefault="008B3429" w14:paraId="18E87F1A" w14:textId="3CF00E88">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119</w:t>
            </w:r>
          </w:p>
        </w:tc>
        <w:tc>
          <w:tcPr>
            <w:tcW w:w="960" w:type="dxa"/>
          </w:tcPr>
          <w:p w:rsidRPr="003F5F01" w:rsidR="008B3429" w:rsidP="00786E84" w:rsidRDefault="008B3429" w14:paraId="650BA675" w14:textId="68B33B74">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14</w:t>
            </w:r>
          </w:p>
        </w:tc>
        <w:tc>
          <w:tcPr>
            <w:tcW w:w="960" w:type="dxa"/>
          </w:tcPr>
          <w:p w:rsidRPr="003F5F01" w:rsidR="008B3429" w:rsidP="00786E84" w:rsidRDefault="008B3429" w14:paraId="4BB2C9A2" w14:textId="3EFCCC66">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6</w:t>
            </w:r>
          </w:p>
        </w:tc>
      </w:tr>
    </w:tbl>
    <w:p w:rsidR="008B3429" w:rsidP="008B3429" w:rsidRDefault="008B3429" w14:paraId="22CF25B6" w14:textId="77777777"/>
    <w:p w:rsidRPr="00B85C73" w:rsidR="00B85C73" w:rsidP="00092477" w:rsidRDefault="00B85C73" w14:paraId="44D08831" w14:textId="071804F2">
      <w:pPr>
        <w:rPr>
          <w:i/>
          <w:iCs/>
        </w:rPr>
      </w:pPr>
      <w:r w:rsidRPr="00B85C73">
        <w:rPr>
          <w:i/>
          <w:iCs/>
        </w:rPr>
        <w:t>Converting data to year</w:t>
      </w:r>
      <w:r w:rsidR="002B3A90">
        <w:rPr>
          <w:i/>
          <w:iCs/>
        </w:rPr>
        <w:t>s</w:t>
      </w:r>
      <w:r w:rsidRPr="00B85C73">
        <w:rPr>
          <w:i/>
          <w:iCs/>
        </w:rPr>
        <w:t xml:space="preserve"> 2024</w:t>
      </w:r>
      <w:r w:rsidR="002B3A90">
        <w:rPr>
          <w:i/>
          <w:iCs/>
        </w:rPr>
        <w:t xml:space="preserve"> and 2045</w:t>
      </w:r>
    </w:p>
    <w:p w:rsidR="008B3429" w:rsidP="00092477" w:rsidRDefault="008B3429" w14:paraId="267E3045" w14:textId="7149A63C">
      <w:r>
        <w:t>Total employment d</w:t>
      </w:r>
      <w:r w:rsidR="00B85C73">
        <w:t xml:space="preserve">ata </w:t>
      </w:r>
      <w:r w:rsidR="00695EEC">
        <w:t xml:space="preserve">(in thousands) </w:t>
      </w:r>
      <w:r w:rsidR="00B85C73">
        <w:t>were obtained from Woods &amp; Poole</w:t>
      </w:r>
      <w:r>
        <w:t xml:space="preserve"> Economics, Inc. (2024) which provides data for either each city (e.g., City of Virginia Beach), each county (e.g., Accomack County), or in some cases, groups of 2-3 cities and counties (e.g., Fairfax City plus Fairfax County plus Falls Church City).  These data are given for years 2024 and 2045.  Data had been disaggregated to each city and county (Gillespie, 2024) and then these 2024 and 2045 values, relative to 2022, were used as multipliers for each Bzone.  For example, block group 510010901012 is located in Accomack County.  </w:t>
      </w:r>
      <w:r w:rsidR="00695EEC">
        <w:t>Table 3</w:t>
      </w:r>
      <w:r>
        <w:t xml:space="preserve"> show</w:t>
      </w:r>
      <w:r w:rsidR="00695EEC">
        <w:t>s</w:t>
      </w:r>
      <w:r>
        <w:t xml:space="preserve"> Accomack County total employment </w:t>
      </w:r>
      <w:r w:rsidR="00695EEC">
        <w:t>as increasing by aby 1.4% from year 2022 to 2045 and by about 14.4% from year 2022 to year 2045.</w:t>
      </w:r>
    </w:p>
    <w:p w:rsidR="00695EEC" w:rsidP="00092477" w:rsidRDefault="00695EEC" w14:paraId="31F698FD" w14:textId="29B44E6D">
      <w:r>
        <w:t>Table 3.  Forecast Changes in Employment for Accomack County (2022-2045)</w:t>
      </w:r>
    </w:p>
    <w:tbl>
      <w:tblPr>
        <w:tblW w:w="8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9"/>
        <w:gridCol w:w="960"/>
        <w:gridCol w:w="1277"/>
        <w:gridCol w:w="1277"/>
        <w:gridCol w:w="1277"/>
        <w:gridCol w:w="1643"/>
        <w:gridCol w:w="1643"/>
      </w:tblGrid>
      <w:tr w:rsidRPr="00695EEC" w:rsidR="00695EEC" w:rsidTr="00695EEC" w14:paraId="570D8DDD" w14:textId="77777777">
        <w:trPr>
          <w:trHeight w:val="300"/>
        </w:trPr>
        <w:tc>
          <w:tcPr>
            <w:tcW w:w="1249" w:type="dxa"/>
            <w:noWrap/>
            <w:vAlign w:val="bottom"/>
            <w:hideMark/>
          </w:tcPr>
          <w:p w:rsidRPr="00695EEC" w:rsidR="00695EEC" w:rsidP="00695EEC" w:rsidRDefault="00695EEC" w14:paraId="5D275CDB"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Locality</w:t>
            </w:r>
          </w:p>
        </w:tc>
        <w:tc>
          <w:tcPr>
            <w:tcW w:w="960" w:type="dxa"/>
            <w:noWrap/>
            <w:vAlign w:val="bottom"/>
            <w:hideMark/>
          </w:tcPr>
          <w:p w:rsidRPr="00695EEC" w:rsidR="00695EEC" w:rsidP="00695EEC" w:rsidRDefault="00695EEC" w14:paraId="4A2226E9"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BEA_ID</w:t>
            </w:r>
          </w:p>
        </w:tc>
        <w:tc>
          <w:tcPr>
            <w:tcW w:w="941" w:type="dxa"/>
            <w:noWrap/>
            <w:vAlign w:val="bottom"/>
            <w:hideMark/>
          </w:tcPr>
          <w:p w:rsidRPr="00695EEC" w:rsidR="00695EEC" w:rsidP="00695EEC" w:rsidRDefault="00695EEC" w14:paraId="1B3B866C" w14:textId="09C3849A">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2022</w:t>
            </w:r>
            <w:r w:rsidR="00517031">
              <w:rPr>
                <w:rFonts w:ascii="Aptos Narrow" w:hAnsi="Aptos Narrow" w:eastAsia="Times New Roman" w:cs="Times New Roman"/>
                <w:color w:val="000000"/>
              </w:rPr>
              <w:t xml:space="preserve"> jobs (thousands)</w:t>
            </w:r>
          </w:p>
        </w:tc>
        <w:tc>
          <w:tcPr>
            <w:tcW w:w="941" w:type="dxa"/>
            <w:noWrap/>
            <w:vAlign w:val="bottom"/>
            <w:hideMark/>
          </w:tcPr>
          <w:p w:rsidRPr="00695EEC" w:rsidR="00695EEC" w:rsidP="00695EEC" w:rsidRDefault="00695EEC" w14:paraId="55A0A58A" w14:textId="4628ED8E">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2024</w:t>
            </w:r>
            <w:r w:rsidR="00517031">
              <w:rPr>
                <w:rFonts w:ascii="Aptos Narrow" w:hAnsi="Aptos Narrow" w:eastAsia="Times New Roman" w:cs="Times New Roman"/>
                <w:color w:val="000000"/>
              </w:rPr>
              <w:t xml:space="preserve"> jobs (thousands)</w:t>
            </w:r>
          </w:p>
        </w:tc>
        <w:tc>
          <w:tcPr>
            <w:tcW w:w="941" w:type="dxa"/>
            <w:noWrap/>
            <w:vAlign w:val="bottom"/>
            <w:hideMark/>
          </w:tcPr>
          <w:p w:rsidRPr="00695EEC" w:rsidR="00695EEC" w:rsidP="00695EEC" w:rsidRDefault="00695EEC" w14:paraId="0EFB83D7" w14:textId="116A8C05">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2045</w:t>
            </w:r>
            <w:r w:rsidR="00517031">
              <w:rPr>
                <w:rFonts w:ascii="Aptos Narrow" w:hAnsi="Aptos Narrow" w:eastAsia="Times New Roman" w:cs="Times New Roman"/>
                <w:color w:val="000000"/>
              </w:rPr>
              <w:t xml:space="preserve"> jobs (thousands)</w:t>
            </w:r>
          </w:p>
        </w:tc>
        <w:tc>
          <w:tcPr>
            <w:tcW w:w="1643" w:type="dxa"/>
            <w:noWrap/>
            <w:vAlign w:val="bottom"/>
            <w:hideMark/>
          </w:tcPr>
          <w:p w:rsidRPr="00695EEC" w:rsidR="00695EEC" w:rsidP="00695EEC" w:rsidRDefault="00695EEC" w14:paraId="61FD8760"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2024 Multiplier</w:t>
            </w:r>
          </w:p>
        </w:tc>
        <w:tc>
          <w:tcPr>
            <w:tcW w:w="1643" w:type="dxa"/>
            <w:noWrap/>
            <w:vAlign w:val="bottom"/>
            <w:hideMark/>
          </w:tcPr>
          <w:p w:rsidRPr="00695EEC" w:rsidR="00695EEC" w:rsidP="00695EEC" w:rsidRDefault="00695EEC" w14:paraId="563F5786"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2045 Multiplier</w:t>
            </w:r>
          </w:p>
        </w:tc>
      </w:tr>
      <w:tr w:rsidRPr="00695EEC" w:rsidR="00695EEC" w:rsidTr="00695EEC" w14:paraId="0C2BD9A0" w14:textId="77777777">
        <w:trPr>
          <w:trHeight w:val="300"/>
        </w:trPr>
        <w:tc>
          <w:tcPr>
            <w:tcW w:w="1249" w:type="dxa"/>
            <w:noWrap/>
            <w:vAlign w:val="bottom"/>
            <w:hideMark/>
          </w:tcPr>
          <w:p w:rsidRPr="00695EEC" w:rsidR="00695EEC" w:rsidP="00695EEC" w:rsidRDefault="00695EEC" w14:paraId="3E083D7D"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Accomack</w:t>
            </w:r>
          </w:p>
        </w:tc>
        <w:tc>
          <w:tcPr>
            <w:tcW w:w="960" w:type="dxa"/>
            <w:noWrap/>
            <w:vAlign w:val="bottom"/>
            <w:hideMark/>
          </w:tcPr>
          <w:p w:rsidRPr="00695EEC" w:rsidR="00695EEC" w:rsidP="00695EEC" w:rsidRDefault="00695EEC" w14:paraId="5D2BB4F5" w14:textId="77777777">
            <w:pPr>
              <w:spacing w:after="0" w:line="240" w:lineRule="auto"/>
              <w:rPr>
                <w:rFonts w:ascii="Aptos Narrow" w:hAnsi="Aptos Narrow" w:eastAsia="Times New Roman" w:cs="Times New Roman"/>
                <w:color w:val="000000"/>
              </w:rPr>
            </w:pPr>
            <w:r w:rsidRPr="00695EEC">
              <w:rPr>
                <w:rFonts w:ascii="Aptos Narrow" w:hAnsi="Aptos Narrow" w:eastAsia="Times New Roman" w:cs="Times New Roman"/>
                <w:color w:val="000000"/>
              </w:rPr>
              <w:t>51001</w:t>
            </w:r>
          </w:p>
        </w:tc>
        <w:tc>
          <w:tcPr>
            <w:tcW w:w="941" w:type="dxa"/>
            <w:noWrap/>
            <w:vAlign w:val="bottom"/>
            <w:hideMark/>
          </w:tcPr>
          <w:p w:rsidRPr="00695EEC" w:rsidR="00695EEC" w:rsidP="00695EEC" w:rsidRDefault="00695EEC" w14:paraId="70C9FEF5" w14:textId="77777777">
            <w:pPr>
              <w:spacing w:after="0" w:line="240" w:lineRule="auto"/>
              <w:jc w:val="right"/>
              <w:rPr>
                <w:rFonts w:ascii="Aptos Narrow" w:hAnsi="Aptos Narrow" w:eastAsia="Times New Roman" w:cs="Times New Roman"/>
                <w:color w:val="000000"/>
              </w:rPr>
            </w:pPr>
            <w:r w:rsidRPr="00695EEC">
              <w:rPr>
                <w:rFonts w:ascii="Aptos Narrow" w:hAnsi="Aptos Narrow" w:eastAsia="Times New Roman" w:cs="Times New Roman"/>
                <w:color w:val="000000"/>
              </w:rPr>
              <w:t>18.769</w:t>
            </w:r>
          </w:p>
        </w:tc>
        <w:tc>
          <w:tcPr>
            <w:tcW w:w="941" w:type="dxa"/>
            <w:noWrap/>
            <w:vAlign w:val="bottom"/>
            <w:hideMark/>
          </w:tcPr>
          <w:p w:rsidRPr="00695EEC" w:rsidR="00695EEC" w:rsidP="00695EEC" w:rsidRDefault="00695EEC" w14:paraId="1046E2AF" w14:textId="77777777">
            <w:pPr>
              <w:spacing w:after="0" w:line="240" w:lineRule="auto"/>
              <w:jc w:val="right"/>
              <w:rPr>
                <w:rFonts w:ascii="Aptos Narrow" w:hAnsi="Aptos Narrow" w:eastAsia="Times New Roman" w:cs="Times New Roman"/>
                <w:color w:val="000000"/>
              </w:rPr>
            </w:pPr>
            <w:r w:rsidRPr="00695EEC">
              <w:rPr>
                <w:rFonts w:ascii="Aptos Narrow" w:hAnsi="Aptos Narrow" w:eastAsia="Times New Roman" w:cs="Times New Roman"/>
                <w:color w:val="000000"/>
              </w:rPr>
              <w:t>19.035</w:t>
            </w:r>
          </w:p>
        </w:tc>
        <w:tc>
          <w:tcPr>
            <w:tcW w:w="941" w:type="dxa"/>
            <w:noWrap/>
            <w:vAlign w:val="bottom"/>
            <w:hideMark/>
          </w:tcPr>
          <w:p w:rsidRPr="00695EEC" w:rsidR="00695EEC" w:rsidP="00695EEC" w:rsidRDefault="00695EEC" w14:paraId="0A7319C9" w14:textId="77777777">
            <w:pPr>
              <w:spacing w:after="0" w:line="240" w:lineRule="auto"/>
              <w:jc w:val="right"/>
              <w:rPr>
                <w:rFonts w:ascii="Aptos Narrow" w:hAnsi="Aptos Narrow" w:eastAsia="Times New Roman" w:cs="Times New Roman"/>
                <w:color w:val="000000"/>
              </w:rPr>
            </w:pPr>
            <w:r w:rsidRPr="00695EEC">
              <w:rPr>
                <w:rFonts w:ascii="Aptos Narrow" w:hAnsi="Aptos Narrow" w:eastAsia="Times New Roman" w:cs="Times New Roman"/>
                <w:color w:val="000000"/>
              </w:rPr>
              <w:t>21.471</w:t>
            </w:r>
          </w:p>
        </w:tc>
        <w:tc>
          <w:tcPr>
            <w:tcW w:w="1643" w:type="dxa"/>
            <w:noWrap/>
            <w:vAlign w:val="bottom"/>
            <w:hideMark/>
          </w:tcPr>
          <w:p w:rsidRPr="00695EEC" w:rsidR="00695EEC" w:rsidP="00695EEC" w:rsidRDefault="00695EEC" w14:paraId="7CB0EF0F" w14:textId="77777777">
            <w:pPr>
              <w:spacing w:after="0" w:line="240" w:lineRule="auto"/>
              <w:jc w:val="right"/>
              <w:rPr>
                <w:rFonts w:ascii="Aptos Narrow" w:hAnsi="Aptos Narrow" w:eastAsia="Times New Roman" w:cs="Times New Roman"/>
                <w:color w:val="000000"/>
              </w:rPr>
            </w:pPr>
            <w:r w:rsidRPr="00695EEC">
              <w:rPr>
                <w:rFonts w:ascii="Aptos Narrow" w:hAnsi="Aptos Narrow" w:eastAsia="Times New Roman" w:cs="Times New Roman"/>
                <w:color w:val="000000"/>
              </w:rPr>
              <w:t>1.014</w:t>
            </w:r>
          </w:p>
        </w:tc>
        <w:tc>
          <w:tcPr>
            <w:tcW w:w="1643" w:type="dxa"/>
            <w:noWrap/>
            <w:vAlign w:val="bottom"/>
            <w:hideMark/>
          </w:tcPr>
          <w:p w:rsidRPr="00695EEC" w:rsidR="00695EEC" w:rsidP="00695EEC" w:rsidRDefault="00695EEC" w14:paraId="2AD017C0" w14:textId="77777777">
            <w:pPr>
              <w:spacing w:after="0" w:line="240" w:lineRule="auto"/>
              <w:jc w:val="right"/>
              <w:rPr>
                <w:rFonts w:ascii="Aptos Narrow" w:hAnsi="Aptos Narrow" w:eastAsia="Times New Roman" w:cs="Times New Roman"/>
                <w:color w:val="000000"/>
              </w:rPr>
            </w:pPr>
            <w:r w:rsidRPr="00695EEC">
              <w:rPr>
                <w:rFonts w:ascii="Aptos Narrow" w:hAnsi="Aptos Narrow" w:eastAsia="Times New Roman" w:cs="Times New Roman"/>
                <w:color w:val="000000"/>
              </w:rPr>
              <w:t>1.144</w:t>
            </w:r>
          </w:p>
        </w:tc>
      </w:tr>
    </w:tbl>
    <w:p w:rsidR="008B3429" w:rsidP="00092477" w:rsidRDefault="008B3429" w14:paraId="10B0D5F9" w14:textId="77777777"/>
    <w:p w:rsidR="00B85C73" w:rsidP="00092477" w:rsidRDefault="00695EEC" w14:paraId="631DCEAE" w14:textId="064BC3C0">
      <w:r>
        <w:t>Accordingly, the ratios shown Table 3 are used with the data in Table 1 to develop total, service, and retail employment for years 2024 and 2045 for bock group 510010901012.</w:t>
      </w:r>
    </w:p>
    <w:p w:rsidR="00695EEC" w:rsidP="00092477" w:rsidRDefault="00695EEC" w14:paraId="78134EC6" w14:textId="16F79C86">
      <w:r>
        <w:t>Table 4.  Data for Block Group 510010901012 for Years 2024 and 2045</w:t>
      </w:r>
    </w:p>
    <w:tbl>
      <w:tblPr>
        <w:tblW w:w="49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0"/>
        <w:gridCol w:w="960"/>
        <w:gridCol w:w="960"/>
        <w:gridCol w:w="960"/>
      </w:tblGrid>
      <w:tr w:rsidR="00695EEC" w:rsidTr="00517031" w14:paraId="050457A8" w14:textId="77777777">
        <w:trPr>
          <w:cantSplit/>
          <w:tblHeader/>
        </w:trPr>
        <w:tc>
          <w:tcPr>
            <w:tcW w:w="2030" w:type="dxa"/>
            <w:noWrap/>
            <w:vAlign w:val="bottom"/>
          </w:tcPr>
          <w:p w:rsidRPr="003F5F01" w:rsidR="00695EEC" w:rsidP="00786E84" w:rsidRDefault="00695EEC" w14:paraId="6E858CF1" w14:textId="16903CB7">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Year</w:t>
            </w:r>
          </w:p>
        </w:tc>
        <w:tc>
          <w:tcPr>
            <w:tcW w:w="960" w:type="dxa"/>
            <w:noWrap/>
            <w:vAlign w:val="bottom"/>
          </w:tcPr>
          <w:p w:rsidRPr="003F5F01" w:rsidR="00695EEC" w:rsidP="00786E84" w:rsidRDefault="00695EEC" w14:paraId="147CDC02"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TotEmp</w:t>
            </w:r>
          </w:p>
        </w:tc>
        <w:tc>
          <w:tcPr>
            <w:tcW w:w="960" w:type="dxa"/>
          </w:tcPr>
          <w:p w:rsidR="00695EEC" w:rsidP="00786E84" w:rsidRDefault="00695EEC" w14:paraId="15110648"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RetEmp</w:t>
            </w:r>
          </w:p>
        </w:tc>
        <w:tc>
          <w:tcPr>
            <w:tcW w:w="960" w:type="dxa"/>
          </w:tcPr>
          <w:p w:rsidR="00695EEC" w:rsidP="00786E84" w:rsidRDefault="00695EEC" w14:paraId="492AAB8F"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SvcEmp</w:t>
            </w:r>
          </w:p>
        </w:tc>
      </w:tr>
      <w:tr w:rsidRPr="003F5F01" w:rsidR="00695EEC" w:rsidTr="00695EEC" w14:paraId="4486AAFD" w14:textId="77777777">
        <w:trPr>
          <w:trHeight w:val="300"/>
        </w:trPr>
        <w:tc>
          <w:tcPr>
            <w:tcW w:w="2030" w:type="dxa"/>
            <w:noWrap/>
            <w:vAlign w:val="bottom"/>
          </w:tcPr>
          <w:p w:rsidRPr="003F5F01" w:rsidR="00695EEC" w:rsidP="00786E84" w:rsidRDefault="00695EEC" w14:paraId="12A37F2E" w14:textId="38696519">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2022 (from Table 1)</w:t>
            </w:r>
          </w:p>
        </w:tc>
        <w:tc>
          <w:tcPr>
            <w:tcW w:w="960" w:type="dxa"/>
            <w:noWrap/>
            <w:vAlign w:val="bottom"/>
          </w:tcPr>
          <w:p w:rsidRPr="003F5F01" w:rsidR="00695EEC" w:rsidP="00786E84" w:rsidRDefault="00695EEC" w14:paraId="2552D590"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119</w:t>
            </w:r>
          </w:p>
        </w:tc>
        <w:tc>
          <w:tcPr>
            <w:tcW w:w="960" w:type="dxa"/>
          </w:tcPr>
          <w:p w:rsidRPr="003F5F01" w:rsidR="00695EEC" w:rsidP="00786E84" w:rsidRDefault="00695EEC" w14:paraId="75D7C495"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14</w:t>
            </w:r>
          </w:p>
        </w:tc>
        <w:tc>
          <w:tcPr>
            <w:tcW w:w="960" w:type="dxa"/>
          </w:tcPr>
          <w:p w:rsidRPr="003F5F01" w:rsidR="00695EEC" w:rsidP="00786E84" w:rsidRDefault="00695EEC" w14:paraId="719D8F12" w14:textId="77777777">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6</w:t>
            </w:r>
          </w:p>
        </w:tc>
      </w:tr>
      <w:tr w:rsidRPr="003F5F01" w:rsidR="00695EEC" w:rsidTr="005D5F30" w14:paraId="0C143566" w14:textId="77777777">
        <w:trPr>
          <w:trHeight w:val="300"/>
        </w:trPr>
        <w:tc>
          <w:tcPr>
            <w:tcW w:w="2030" w:type="dxa"/>
            <w:noWrap/>
            <w:vAlign w:val="bottom"/>
          </w:tcPr>
          <w:p w:rsidRPr="003F5F01" w:rsidR="00695EEC" w:rsidP="00695EEC" w:rsidRDefault="00695EEC" w14:paraId="1A91FEA9" w14:textId="13C7F681">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2024</w:t>
            </w:r>
          </w:p>
        </w:tc>
        <w:tc>
          <w:tcPr>
            <w:tcW w:w="960" w:type="dxa"/>
            <w:noWrap/>
            <w:vAlign w:val="bottom"/>
          </w:tcPr>
          <w:p w:rsidR="00695EEC" w:rsidP="00695EEC" w:rsidRDefault="00695EEC" w14:paraId="6DE36525" w14:textId="042C2588">
            <w:pPr>
              <w:spacing w:after="0" w:line="240" w:lineRule="auto"/>
              <w:jc w:val="right"/>
              <w:rPr>
                <w:rFonts w:ascii="Aptos Narrow" w:hAnsi="Aptos Narrow" w:eastAsia="Times New Roman" w:cs="Times New Roman"/>
                <w:color w:val="000000"/>
              </w:rPr>
            </w:pPr>
            <w:r>
              <w:rPr>
                <w:rFonts w:ascii="Aptos Narrow" w:hAnsi="Aptos Narrow"/>
                <w:color w:val="000000"/>
              </w:rPr>
              <w:t>121</w:t>
            </w:r>
          </w:p>
        </w:tc>
        <w:tc>
          <w:tcPr>
            <w:tcW w:w="960" w:type="dxa"/>
            <w:vAlign w:val="bottom"/>
          </w:tcPr>
          <w:p w:rsidR="00695EEC" w:rsidP="00695EEC" w:rsidRDefault="00695EEC" w14:paraId="47AC2EC8" w14:textId="2CA87C71">
            <w:pPr>
              <w:spacing w:after="0" w:line="240" w:lineRule="auto"/>
              <w:jc w:val="right"/>
              <w:rPr>
                <w:rFonts w:ascii="Aptos Narrow" w:hAnsi="Aptos Narrow" w:eastAsia="Times New Roman" w:cs="Times New Roman"/>
                <w:color w:val="000000"/>
              </w:rPr>
            </w:pPr>
            <w:r>
              <w:rPr>
                <w:rFonts w:ascii="Aptos Narrow" w:hAnsi="Aptos Narrow"/>
                <w:color w:val="000000"/>
              </w:rPr>
              <w:t>14</w:t>
            </w:r>
          </w:p>
        </w:tc>
        <w:tc>
          <w:tcPr>
            <w:tcW w:w="960" w:type="dxa"/>
            <w:vAlign w:val="bottom"/>
          </w:tcPr>
          <w:p w:rsidR="00695EEC" w:rsidP="00695EEC" w:rsidRDefault="00695EEC" w14:paraId="338B8FB1" w14:textId="56BAD111">
            <w:pPr>
              <w:spacing w:after="0" w:line="240" w:lineRule="auto"/>
              <w:jc w:val="right"/>
              <w:rPr>
                <w:rFonts w:ascii="Aptos Narrow" w:hAnsi="Aptos Narrow" w:eastAsia="Times New Roman" w:cs="Times New Roman"/>
                <w:color w:val="000000"/>
              </w:rPr>
            </w:pPr>
            <w:r>
              <w:rPr>
                <w:rFonts w:ascii="Aptos Narrow" w:hAnsi="Aptos Narrow"/>
                <w:color w:val="000000"/>
              </w:rPr>
              <w:t>6</w:t>
            </w:r>
          </w:p>
        </w:tc>
      </w:tr>
      <w:tr w:rsidRPr="003F5F01" w:rsidR="00695EEC" w:rsidTr="00695EEC" w14:paraId="264BF174" w14:textId="77777777">
        <w:trPr>
          <w:trHeight w:val="300"/>
        </w:trPr>
        <w:tc>
          <w:tcPr>
            <w:tcW w:w="2030" w:type="dxa"/>
            <w:noWrap/>
            <w:vAlign w:val="bottom"/>
          </w:tcPr>
          <w:p w:rsidRPr="003F5F01" w:rsidR="00695EEC" w:rsidP="00786E84" w:rsidRDefault="00695EEC" w14:paraId="054DB2AE" w14:textId="21282A1F">
            <w:pPr>
              <w:spacing w:after="0" w:line="240" w:lineRule="auto"/>
              <w:rPr>
                <w:rFonts w:ascii="Aptos Narrow" w:hAnsi="Aptos Narrow" w:eastAsia="Times New Roman" w:cs="Times New Roman"/>
                <w:color w:val="000000"/>
              </w:rPr>
            </w:pPr>
            <w:r>
              <w:rPr>
                <w:rFonts w:ascii="Aptos Narrow" w:hAnsi="Aptos Narrow" w:eastAsia="Times New Roman" w:cs="Times New Roman"/>
                <w:color w:val="000000"/>
              </w:rPr>
              <w:t>2045</w:t>
            </w:r>
          </w:p>
        </w:tc>
        <w:tc>
          <w:tcPr>
            <w:tcW w:w="960" w:type="dxa"/>
            <w:noWrap/>
            <w:vAlign w:val="bottom"/>
          </w:tcPr>
          <w:p w:rsidR="00695EEC" w:rsidP="00786E84" w:rsidRDefault="00695EEC" w14:paraId="10CC6BAB" w14:textId="7DDD89B5">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136</w:t>
            </w:r>
          </w:p>
        </w:tc>
        <w:tc>
          <w:tcPr>
            <w:tcW w:w="960" w:type="dxa"/>
          </w:tcPr>
          <w:p w:rsidR="00695EEC" w:rsidP="00786E84" w:rsidRDefault="00695EEC" w14:paraId="0D4B4A47" w14:textId="074327DC">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16</w:t>
            </w:r>
          </w:p>
        </w:tc>
        <w:tc>
          <w:tcPr>
            <w:tcW w:w="960" w:type="dxa"/>
          </w:tcPr>
          <w:p w:rsidR="00695EEC" w:rsidP="00786E84" w:rsidRDefault="00695EEC" w14:paraId="1C6D4064" w14:textId="365CCAA3">
            <w:pPr>
              <w:spacing w:after="0" w:line="240" w:lineRule="auto"/>
              <w:jc w:val="right"/>
              <w:rPr>
                <w:rFonts w:ascii="Aptos Narrow" w:hAnsi="Aptos Narrow" w:eastAsia="Times New Roman" w:cs="Times New Roman"/>
                <w:color w:val="000000"/>
              </w:rPr>
            </w:pPr>
            <w:r>
              <w:rPr>
                <w:rFonts w:ascii="Aptos Narrow" w:hAnsi="Aptos Narrow" w:eastAsia="Times New Roman" w:cs="Times New Roman"/>
                <w:color w:val="000000"/>
              </w:rPr>
              <w:t>7</w:t>
            </w:r>
          </w:p>
        </w:tc>
      </w:tr>
    </w:tbl>
    <w:p w:rsidR="00695EEC" w:rsidP="00092477" w:rsidRDefault="00695EEC" w14:paraId="31ADAAFD" w14:textId="77777777"/>
    <w:p w:rsidRPr="00D91FB3" w:rsidR="00D91FB3" w:rsidP="00D91FB3" w:rsidRDefault="00D91FB3" w14:paraId="3712C538" w14:textId="77777777">
      <w:pPr>
        <w:rPr>
          <w:highlight w:val="yellow"/>
        </w:rPr>
      </w:pPr>
      <w:r w:rsidRPr="00D91FB3">
        <w:rPr>
          <w:highlight w:val="yellow"/>
        </w:rPr>
        <w:t>Missing Zones</w:t>
      </w:r>
    </w:p>
    <w:p w:rsidRPr="008D3A03" w:rsidR="00D91FB3" w:rsidP="00517031" w:rsidRDefault="00D91FB3" w14:paraId="29DA925D" w14:textId="7A46B4BC">
      <w:pPr>
        <w:rPr>
          <w:highlight w:val="yellow"/>
        </w:rPr>
      </w:pPr>
      <w:r w:rsidRPr="00D91FB3">
        <w:rPr>
          <w:highlight w:val="yellow"/>
        </w:rPr>
        <w:t xml:space="preserve">There are a total of 5,963 block groups in Virginia—yet the bzone employment file has only 5,939 block groups.  That is, there are 24 block groups where no employment data are available.  Figure 1 shows that these 24 block </w:t>
      </w:r>
      <w:r w:rsidRPr="008D3A03">
        <w:rPr>
          <w:highlight w:val="yellow"/>
        </w:rPr>
        <w:t>groups are special cases consisting of (1) a portion of Radford University, (2) a portion of the Radford AAP Main Manufacturing Area, and (3) several water areas in Hampton Roads.  For now, employment for all of these areas was set to zero.</w:t>
      </w:r>
      <w:r w:rsidR="001076D1">
        <w:rPr>
          <w:highlight w:val="yellow"/>
        </w:rPr>
        <w:t xml:space="preserve">  </w:t>
      </w:r>
    </w:p>
    <w:p w:rsidRPr="008D3A03" w:rsidR="00D91FB3" w:rsidP="00517031" w:rsidRDefault="00D91FB3" w14:paraId="15BAB732" w14:textId="02ECEE6E">
      <w:pPr>
        <w:rPr>
          <w:noProof/>
          <w:highlight w:val="yellow"/>
          <w14:ligatures w14:val="standardContextual"/>
        </w:rPr>
      </w:pPr>
      <w:r w:rsidRPr="008D3A03">
        <w:rPr>
          <w:noProof/>
          <w:highlight w:val="yellow"/>
        </w:rPr>
        <w:drawing>
          <wp:inline distT="0" distB="0" distL="0" distR="0" wp14:anchorId="623C5F9E" wp14:editId="3610E7BE">
            <wp:extent cx="1781092" cy="1761389"/>
            <wp:effectExtent l="0" t="0" r="0" b="0"/>
            <wp:docPr id="1331954041"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4041" name="Picture 1" descr="Map&#10;&#10;AI-generated content may be incorrect."/>
                    <pic:cNvPicPr/>
                  </pic:nvPicPr>
                  <pic:blipFill>
                    <a:blip r:embed="rId9"/>
                    <a:stretch>
                      <a:fillRect/>
                    </a:stretch>
                  </pic:blipFill>
                  <pic:spPr>
                    <a:xfrm>
                      <a:off x="0" y="0"/>
                      <a:ext cx="1796278" cy="1776407"/>
                    </a:xfrm>
                    <a:prstGeom prst="rect">
                      <a:avLst/>
                    </a:prstGeom>
                  </pic:spPr>
                </pic:pic>
              </a:graphicData>
            </a:graphic>
          </wp:inline>
        </w:drawing>
      </w:r>
      <w:r w:rsidRPr="008D3A03">
        <w:rPr>
          <w:noProof/>
          <w:highlight w:val="yellow"/>
          <w14:ligatures w14:val="standardContextual"/>
        </w:rPr>
        <w:t xml:space="preserve"> </w:t>
      </w:r>
      <w:r w:rsidRPr="008D3A03">
        <w:rPr>
          <w:noProof/>
          <w:highlight w:val="yellow"/>
        </w:rPr>
        <w:drawing>
          <wp:inline distT="0" distB="0" distL="0" distR="0" wp14:anchorId="48115576" wp14:editId="74992D9E">
            <wp:extent cx="2572010" cy="1741336"/>
            <wp:effectExtent l="0" t="0" r="0" b="0"/>
            <wp:docPr id="3918882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829" name="Picture 1" descr="Diagram&#10;&#10;AI-generated content may be incorrect."/>
                    <pic:cNvPicPr/>
                  </pic:nvPicPr>
                  <pic:blipFill>
                    <a:blip r:embed="rId10"/>
                    <a:stretch>
                      <a:fillRect/>
                    </a:stretch>
                  </pic:blipFill>
                  <pic:spPr>
                    <a:xfrm>
                      <a:off x="0" y="0"/>
                      <a:ext cx="2600675" cy="1760743"/>
                    </a:xfrm>
                    <a:prstGeom prst="rect">
                      <a:avLst/>
                    </a:prstGeom>
                  </pic:spPr>
                </pic:pic>
              </a:graphicData>
            </a:graphic>
          </wp:inline>
        </w:drawing>
      </w:r>
      <w:r w:rsidRPr="008D3A03">
        <w:rPr>
          <w:noProof/>
          <w:highlight w:val="yellow"/>
          <w14:ligatures w14:val="standardContextual"/>
        </w:rPr>
        <w:t xml:space="preserve"> </w:t>
      </w:r>
      <w:r w:rsidRPr="008D3A03">
        <w:rPr>
          <w:noProof/>
          <w:highlight w:val="yellow"/>
          <w14:ligatures w14:val="standardContextual"/>
        </w:rPr>
        <w:drawing>
          <wp:inline distT="0" distB="0" distL="0" distR="0" wp14:anchorId="42D3D928" wp14:editId="7AAD6898">
            <wp:extent cx="1701579" cy="1695831"/>
            <wp:effectExtent l="0" t="0" r="0" b="0"/>
            <wp:docPr id="206276235"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235" name="Picture 1" descr="Map&#10;&#10;AI-generated content may be incorrect."/>
                    <pic:cNvPicPr/>
                  </pic:nvPicPr>
                  <pic:blipFill>
                    <a:blip r:embed="rId11"/>
                    <a:stretch>
                      <a:fillRect/>
                    </a:stretch>
                  </pic:blipFill>
                  <pic:spPr>
                    <a:xfrm>
                      <a:off x="0" y="0"/>
                      <a:ext cx="1715926" cy="1710130"/>
                    </a:xfrm>
                    <a:prstGeom prst="rect">
                      <a:avLst/>
                    </a:prstGeom>
                  </pic:spPr>
                </pic:pic>
              </a:graphicData>
            </a:graphic>
          </wp:inline>
        </w:drawing>
      </w:r>
    </w:p>
    <w:p w:rsidRPr="008D3A03" w:rsidR="008D3A03" w:rsidP="00517031" w:rsidRDefault="008D3A03" w14:paraId="2E01A0D8" w14:textId="2A33C2A2">
      <w:pPr>
        <w:rPr>
          <w:b/>
          <w:bCs/>
          <w:sz w:val="20"/>
          <w:szCs w:val="20"/>
        </w:rPr>
      </w:pPr>
      <w:r w:rsidRPr="008D3A03">
        <w:rPr>
          <w:b/>
          <w:bCs/>
          <w:noProof/>
          <w:sz w:val="20"/>
          <w:szCs w:val="20"/>
          <w:highlight w:val="yellow"/>
          <w14:ligatures w14:val="standardContextual"/>
        </w:rPr>
        <w:t>Figure 1. Zones where Employment is Set to Zero</w:t>
      </w:r>
    </w:p>
    <w:p w:rsidR="001076D1" w:rsidP="00517031" w:rsidRDefault="001076D1" w14:paraId="16F005A5" w14:textId="11154C48">
      <w:r>
        <w:rPr>
          <w:highlight w:val="yellow"/>
        </w:rPr>
        <w:t>Thus, for every bzone CSV file there is one header row followed by 5,963 rows of 2024 data followed by 5,963 rows of 2045 data, such that every Bzone CSV file should have a total of 5,963+5,963+1=11,927 rows.</w:t>
      </w:r>
    </w:p>
    <w:p w:rsidR="00517031" w:rsidP="00517031" w:rsidRDefault="00517031" w14:paraId="5EDE1E6F" w14:textId="059096A6">
      <w:r>
        <w:t>Three files have been uploaded.</w:t>
      </w:r>
    </w:p>
    <w:p w:rsidR="00517031" w:rsidP="00517031" w:rsidRDefault="00352461" w14:paraId="0A427AD1" w14:textId="74EF6776">
      <w:pPr>
        <w:pStyle w:val="ListParagraph"/>
        <w:numPr>
          <w:ilvl w:val="0"/>
          <w:numId w:val="6"/>
        </w:numPr>
      </w:pPr>
      <w:r>
        <w:t>22_</w:t>
      </w:r>
      <w:r w:rsidRPr="00762DC4" w:rsidR="00517031">
        <w:t>bzone_employment.docx</w:t>
      </w:r>
      <w:r w:rsidR="00517031">
        <w:t xml:space="preserve"> (this file) has the documentation.</w:t>
      </w:r>
    </w:p>
    <w:p w:rsidR="00517031" w:rsidP="00517031" w:rsidRDefault="00352461" w14:paraId="336E6C62" w14:textId="6505B8E5">
      <w:pPr>
        <w:pStyle w:val="ListParagraph"/>
        <w:numPr>
          <w:ilvl w:val="0"/>
          <w:numId w:val="6"/>
        </w:numPr>
      </w:pPr>
      <w:r>
        <w:t>22_</w:t>
      </w:r>
      <w:r w:rsidRPr="00762DC4" w:rsidR="00517031">
        <w:t>bzone_employment.</w:t>
      </w:r>
      <w:r w:rsidR="00517031">
        <w:t>xlsx has the processing in case John made an error and includes a ReadMe tab</w:t>
      </w:r>
    </w:p>
    <w:p w:rsidR="00517031" w:rsidP="00517031" w:rsidRDefault="00517031" w14:paraId="4D27EA83" w14:textId="6C828617">
      <w:pPr>
        <w:pStyle w:val="ListParagraph"/>
      </w:pPr>
      <w:r w:rsidRPr="00517031">
        <w:rPr>
          <w:noProof/>
        </w:rPr>
        <w:drawing>
          <wp:inline distT="0" distB="0" distL="0" distR="0" wp14:anchorId="665F0BE0" wp14:editId="67578363">
            <wp:extent cx="4353533" cy="276264"/>
            <wp:effectExtent l="0" t="0" r="0" b="9525"/>
            <wp:docPr id="18487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831" name=""/>
                    <pic:cNvPicPr/>
                  </pic:nvPicPr>
                  <pic:blipFill>
                    <a:blip r:embed="rId12"/>
                    <a:stretch>
                      <a:fillRect/>
                    </a:stretch>
                  </pic:blipFill>
                  <pic:spPr>
                    <a:xfrm>
                      <a:off x="0" y="0"/>
                      <a:ext cx="4353533" cy="276264"/>
                    </a:xfrm>
                    <a:prstGeom prst="rect">
                      <a:avLst/>
                    </a:prstGeom>
                  </pic:spPr>
                </pic:pic>
              </a:graphicData>
            </a:graphic>
          </wp:inline>
        </w:drawing>
      </w:r>
    </w:p>
    <w:p w:rsidRPr="00D91FB3" w:rsidR="00517031" w:rsidP="00517031" w:rsidRDefault="00352461" w14:paraId="2E40B7E1" w14:textId="2895665C">
      <w:pPr>
        <w:pStyle w:val="ListParagraph"/>
        <w:numPr>
          <w:ilvl w:val="0"/>
          <w:numId w:val="6"/>
        </w:numPr>
        <w:rPr>
          <w:b/>
          <w:bCs/>
        </w:rPr>
      </w:pPr>
      <w:r>
        <w:t>22_</w:t>
      </w:r>
      <w:r w:rsidRPr="00762DC4" w:rsidR="00517031">
        <w:t>bzone_employment.</w:t>
      </w:r>
      <w:r w:rsidR="00517031">
        <w:t>csv has the final answer.</w:t>
      </w:r>
    </w:p>
    <w:p w:rsidRPr="002B3A90" w:rsidR="002B3A90" w:rsidP="002B3A90" w:rsidRDefault="002B3A90" w14:paraId="55645ACA" w14:textId="2B690BA8">
      <w:pPr>
        <w:rPr>
          <w:i/>
          <w:iCs/>
        </w:rPr>
      </w:pPr>
      <w:r w:rsidRPr="002B3A90">
        <w:rPr>
          <w:i/>
          <w:iCs/>
        </w:rPr>
        <w:t>Potential Future Enhancements</w:t>
      </w:r>
    </w:p>
    <w:p w:rsidR="002B3A90" w:rsidP="002B3A90" w:rsidRDefault="002B3A90" w14:paraId="7105B583" w14:textId="1B50804E">
      <w:r>
        <w:t>There are two ways to improve this approach in future years.</w:t>
      </w:r>
    </w:p>
    <w:p w:rsidR="002B3A90" w:rsidP="002B3A90" w:rsidRDefault="002B3A90" w14:paraId="75DB2CC9" w14:textId="07094DA7">
      <w:pPr>
        <w:pStyle w:val="ListParagraph"/>
        <w:numPr>
          <w:ilvl w:val="0"/>
          <w:numId w:val="6"/>
        </w:numPr>
      </w:pPr>
      <w:r>
        <w:t>The data that were used were purchased from Woods &amp; Poole in 2024, as these had already been processed by VTRC.  Woods &amp; Poole updates these data annually, thus updated forecasts from year 2025 or 2026 could be purchased.</w:t>
      </w:r>
    </w:p>
    <w:p w:rsidR="002B3A90" w:rsidP="002B3A90" w:rsidRDefault="002B3A90" w14:paraId="682D6840" w14:textId="4C0D2232">
      <w:pPr>
        <w:pStyle w:val="ListParagraph"/>
        <w:numPr>
          <w:ilvl w:val="0"/>
          <w:numId w:val="6"/>
        </w:numPr>
      </w:pPr>
      <w:r>
        <w:t>The multipliers given in Table 3 are based on total employment, which makes sense for the variable “TotEmp.”  One could argue, of course, that service employment and retail employment in a given city or county are not forecast to increase at the same rate as total employment.  Thus with additional processing, one could use individual two-digit NAICS codes to develop different multipliers for “RetEmp” and “SvcEmp.”</w:t>
      </w:r>
    </w:p>
    <w:p w:rsidR="00517031" w:rsidP="00092477" w:rsidRDefault="002B3A90" w14:paraId="4AD81659" w14:textId="4F13095E">
      <w:r>
        <w:t>One reason for not pursuing the two bullets at this time is that for the 2024 data, VTRC purchased the right to share certain variables publicly from Woods &amp; Poole—one of which was 2024 total employment.  Thus the data used herein can be shared with others, in case questions arise.</w:t>
      </w:r>
    </w:p>
    <w:p w:rsidR="00695EEC" w:rsidP="00092477" w:rsidRDefault="00695EEC" w14:paraId="61ED4020" w14:textId="3D1EC032">
      <w:pPr>
        <w:rPr>
          <w:b/>
          <w:bCs/>
        </w:rPr>
      </w:pPr>
      <w:r w:rsidRPr="00695EEC">
        <w:rPr>
          <w:b/>
          <w:bCs/>
        </w:rPr>
        <w:t>References</w:t>
      </w:r>
    </w:p>
    <w:p w:rsidRPr="00695EEC" w:rsidR="00695EEC" w:rsidP="00695EEC" w:rsidRDefault="00695EEC" w14:paraId="4034132D" w14:textId="77777777">
      <w:r w:rsidRPr="00695EEC">
        <w:t>Gillespie, J.S.  Email to J. Ramchandani, September 6, 2024.</w:t>
      </w:r>
    </w:p>
    <w:p w:rsidRPr="00695EEC" w:rsidR="00092477" w:rsidP="00092477" w:rsidRDefault="00092477" w14:paraId="060D8FF9" w14:textId="77777777">
      <w:r w:rsidRPr="00695EEC">
        <w:t>U.S. Census Bureau.  Longitudinal Employer-Household Dynamics.  Washington, D.C., 2025.  https://lehd.ces.census.gov/data/.  Accessed November 3, 2025.</w:t>
      </w:r>
    </w:p>
    <w:p w:rsidRPr="00695EEC" w:rsidR="00340843" w:rsidP="00340843" w:rsidRDefault="00340843" w14:paraId="24732DEB" w14:textId="786E2B9C">
      <w:pPr>
        <w:spacing w:after="0" w:line="240" w:lineRule="auto"/>
        <w:ind w:right="360"/>
        <w:rPr>
          <w:rFonts w:cs="Times New Roman"/>
          <w:bCs/>
          <w:color w:val="000000" w:themeColor="text1"/>
          <w:sz w:val="24"/>
          <w:szCs w:val="24"/>
        </w:rPr>
      </w:pPr>
      <w:r w:rsidRPr="00695EEC">
        <w:rPr>
          <w:rFonts w:cs="Times New Roman"/>
          <w:bCs/>
          <w:color w:val="000000" w:themeColor="text1"/>
          <w:sz w:val="24"/>
          <w:szCs w:val="24"/>
        </w:rPr>
        <w:t xml:space="preserve">Woods &amp; Poole Economics, Inc. </w:t>
      </w:r>
      <w:r w:rsidRPr="00695EEC">
        <w:rPr>
          <w:rFonts w:cs="Times New Roman"/>
          <w:bCs/>
          <w:i/>
          <w:iCs/>
          <w:color w:val="000000" w:themeColor="text1"/>
          <w:sz w:val="24"/>
          <w:szCs w:val="24"/>
        </w:rPr>
        <w:t xml:space="preserve">2024 State Profile: District of Columbia, Maryland, and Virginia. </w:t>
      </w:r>
      <w:r w:rsidRPr="00695EEC">
        <w:rPr>
          <w:rFonts w:cs="Times New Roman"/>
          <w:bCs/>
          <w:color w:val="000000" w:themeColor="text1"/>
          <w:sz w:val="24"/>
          <w:szCs w:val="24"/>
        </w:rPr>
        <w:t>Washington, D.C., 202</w:t>
      </w:r>
      <w:r w:rsidRPr="00695EEC" w:rsidR="008B3429">
        <w:rPr>
          <w:rFonts w:cs="Times New Roman"/>
          <w:bCs/>
          <w:color w:val="000000" w:themeColor="text1"/>
          <w:sz w:val="24"/>
          <w:szCs w:val="24"/>
        </w:rPr>
        <w:t>4</w:t>
      </w:r>
      <w:r w:rsidRPr="00695EEC">
        <w:rPr>
          <w:rFonts w:cs="Times New Roman"/>
          <w:bCs/>
          <w:color w:val="000000" w:themeColor="text1"/>
          <w:sz w:val="24"/>
          <w:szCs w:val="24"/>
        </w:rPr>
        <w:t>.</w:t>
      </w:r>
    </w:p>
    <w:p w:rsidR="00517031" w:rsidRDefault="00517031" w14:paraId="2A46DBC0" w14:textId="06849491">
      <w:pPr>
        <w:spacing w:line="278" w:lineRule="auto"/>
        <w:rPr>
          <w:b/>
          <w:bCs/>
        </w:rPr>
      </w:pPr>
    </w:p>
    <w:p w:rsidR="00352461" w:rsidRDefault="00352461" w14:paraId="7F86C55A" w14:textId="77777777">
      <w:pPr>
        <w:spacing w:line="278" w:lineRule="auto"/>
        <w:rPr>
          <w:b/>
          <w:bCs/>
        </w:rPr>
      </w:pPr>
      <w:r>
        <w:rPr>
          <w:b/>
          <w:bCs/>
        </w:rPr>
        <w:br w:type="page"/>
      </w:r>
    </w:p>
    <w:p w:rsidR="00092477" w:rsidP="00092477" w:rsidRDefault="00517031" w14:paraId="7DF14B1C" w14:textId="27443A8C">
      <w:pPr>
        <w:rPr>
          <w:b/>
          <w:bCs/>
        </w:rPr>
      </w:pPr>
      <w:r>
        <w:rPr>
          <w:b/>
          <w:bCs/>
        </w:rPr>
        <w:t>SCRAP Work—No need to read this but this helps John remember key items</w:t>
      </w:r>
    </w:p>
    <w:p w:rsidR="00092477" w:rsidP="00092477" w:rsidRDefault="00092477" w14:paraId="5158F5BC" w14:textId="77777777">
      <w:hyperlink w:history="1" r:id="rId13">
        <w:r w:rsidRPr="003D46C0">
          <w:rPr>
            <w:rStyle w:val="Hyperlink"/>
          </w:rPr>
          <w:t>Data - Longitudinal Employer-Household Dynamics</w:t>
        </w:r>
      </w:hyperlink>
    </w:p>
    <w:p w:rsidR="00092477" w:rsidP="00092477" w:rsidRDefault="00092477" w14:paraId="5CD80290" w14:textId="77777777">
      <w:hyperlink w:history="1" r:id="rId14">
        <w:r w:rsidRPr="003D46C0">
          <w:rPr>
            <w:rStyle w:val="Hyperlink"/>
          </w:rPr>
          <w:t>LODES Technical Document Version 8.3</w:t>
        </w:r>
      </w:hyperlink>
    </w:p>
    <w:p w:rsidR="00092477" w:rsidP="00092477" w:rsidRDefault="00092477" w14:paraId="65E74346" w14:textId="77777777">
      <w:r w:rsidRPr="00CB42A8">
        <w:rPr>
          <w:noProof/>
        </w:rPr>
        <w:drawing>
          <wp:inline distT="0" distB="0" distL="0" distR="0" wp14:anchorId="011DE5D8" wp14:editId="41364B0A">
            <wp:extent cx="5420481" cy="819264"/>
            <wp:effectExtent l="0" t="0" r="8890" b="0"/>
            <wp:docPr id="1015356093"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6093" name="Picture 1" descr="Table&#10;&#10;AI-generated content may be incorrect."/>
                    <pic:cNvPicPr/>
                  </pic:nvPicPr>
                  <pic:blipFill>
                    <a:blip r:embed="rId15"/>
                    <a:stretch>
                      <a:fillRect/>
                    </a:stretch>
                  </pic:blipFill>
                  <pic:spPr>
                    <a:xfrm>
                      <a:off x="0" y="0"/>
                      <a:ext cx="5420481" cy="819264"/>
                    </a:xfrm>
                    <a:prstGeom prst="rect">
                      <a:avLst/>
                    </a:prstGeom>
                  </pic:spPr>
                </pic:pic>
              </a:graphicData>
            </a:graphic>
          </wp:inline>
        </w:drawing>
      </w:r>
    </w:p>
    <w:p w:rsidR="00092477" w:rsidP="00092477" w:rsidRDefault="00092477" w14:paraId="740CC305" w14:textId="77777777">
      <w:hyperlink w:history="1" r:id="rId16">
        <w:r w:rsidRPr="00CB42A8">
          <w:rPr>
            <w:rStyle w:val="Hyperlink"/>
          </w:rPr>
          <w:t>Understanding Geographic Identifiers (GEOIDs)</w:t>
        </w:r>
      </w:hyperlink>
    </w:p>
    <w:p w:rsidR="00195B76" w:rsidP="00092477" w:rsidRDefault="00092477" w14:paraId="4BEE4FCF" w14:textId="28A29AEB">
      <w:r w:rsidRPr="00CB42A8">
        <w:rPr>
          <w:noProof/>
        </w:rPr>
        <w:drawing>
          <wp:inline distT="0" distB="0" distL="0" distR="0" wp14:anchorId="763BCB21" wp14:editId="6EECB7C8">
            <wp:extent cx="5744377" cy="1981477"/>
            <wp:effectExtent l="0" t="0" r="0" b="0"/>
            <wp:docPr id="1517720840" name="Picture 1" descr="Graphical user interface, text,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20840" name="Picture 1" descr="Graphical user interface, text, application, table&#10;&#10;AI-generated content may be incorrect."/>
                    <pic:cNvPicPr/>
                  </pic:nvPicPr>
                  <pic:blipFill>
                    <a:blip r:embed="rId17"/>
                    <a:stretch>
                      <a:fillRect/>
                    </a:stretch>
                  </pic:blipFill>
                  <pic:spPr>
                    <a:xfrm>
                      <a:off x="0" y="0"/>
                      <a:ext cx="5744377" cy="1981477"/>
                    </a:xfrm>
                    <a:prstGeom prst="rect">
                      <a:avLst/>
                    </a:prstGeom>
                  </pic:spPr>
                </pic:pic>
              </a:graphicData>
            </a:graphic>
          </wp:inline>
        </w:drawing>
      </w:r>
    </w:p>
    <w:p w:rsidRPr="00DC614F" w:rsidR="00DC614F" w:rsidP="00DC614F" w:rsidRDefault="00DC614F" w14:paraId="4ADDC66E" w14:textId="77777777">
      <w:pPr>
        <w:numPr>
          <w:ilvl w:val="0"/>
          <w:numId w:val="1"/>
        </w:numPr>
      </w:pPr>
      <w:r w:rsidRPr="00DC614F">
        <w:t>Relationship between Bzones and real data in Virginia </w:t>
      </w:r>
    </w:p>
    <w:p w:rsidRPr="00DC614F" w:rsidR="00DC614F" w:rsidP="00DC614F" w:rsidRDefault="00DC614F" w14:paraId="3912454D" w14:textId="77777777">
      <w:pPr>
        <w:numPr>
          <w:ilvl w:val="0"/>
          <w:numId w:val="2"/>
        </w:numPr>
        <w:tabs>
          <w:tab w:val="num" w:pos="720"/>
        </w:tabs>
      </w:pPr>
      <w:r w:rsidRPr="00DC614F">
        <w:t>A Bzone will look something like this:  “51</w:t>
      </w:r>
      <w:r w:rsidRPr="00DC614F">
        <w:rPr>
          <w:b/>
          <w:bCs/>
        </w:rPr>
        <w:t>810</w:t>
      </w:r>
      <w:r w:rsidRPr="00DC614F">
        <w:t>0462251” </w:t>
      </w:r>
    </w:p>
    <w:p w:rsidRPr="00DC614F" w:rsidR="00DC614F" w:rsidP="00DC614F" w:rsidRDefault="00DC614F" w14:paraId="0CF95E90" w14:textId="77777777">
      <w:pPr>
        <w:numPr>
          <w:ilvl w:val="0"/>
          <w:numId w:val="3"/>
        </w:numPr>
        <w:tabs>
          <w:tab w:val="num" w:pos="720"/>
        </w:tabs>
      </w:pPr>
      <w:r w:rsidRPr="00DC614F">
        <w:t>The first 2 digits  (“51”) indicate the state is Virginia </w:t>
      </w:r>
    </w:p>
    <w:p w:rsidRPr="00DC614F" w:rsidR="00DC614F" w:rsidP="00DC614F" w:rsidRDefault="00DC614F" w14:paraId="55AD67A5" w14:textId="77777777">
      <w:pPr>
        <w:numPr>
          <w:ilvl w:val="0"/>
          <w:numId w:val="4"/>
        </w:numPr>
        <w:tabs>
          <w:tab w:val="num" w:pos="720"/>
        </w:tabs>
      </w:pPr>
      <w:r w:rsidRPr="00DC614F">
        <w:t>The 3 digit code in red after the 51 indicates the city or county.  For example, because the code is 810, we know that this is Virginia Beach City. </w:t>
      </w:r>
    </w:p>
    <w:p w:rsidR="00DC614F" w:rsidP="00DC614F" w:rsidRDefault="00DC614F" w14:paraId="786DFAA8" w14:textId="77777777">
      <w:pPr>
        <w:numPr>
          <w:ilvl w:val="0"/>
          <w:numId w:val="5"/>
        </w:numPr>
        <w:tabs>
          <w:tab w:val="num" w:pos="720"/>
        </w:tabs>
      </w:pPr>
      <w:r w:rsidRPr="00DC614F">
        <w:t xml:space="preserve">The meaning of the 3 digit codes for the Bzones are at this location:  </w:t>
      </w:r>
      <w:hyperlink w:tgtFrame="_blank" w:history="1" r:id="rId18">
        <w:r w:rsidRPr="00DC614F">
          <w:rPr>
            <w:rStyle w:val="Hyperlink"/>
          </w:rPr>
          <w:t>www2.census.gov/geo/docs/reference/codes2020/cou/st51_va_cou2020.txt</w:t>
        </w:r>
      </w:hyperlink>
      <w:r w:rsidRPr="00DC614F">
        <w:t> </w:t>
      </w:r>
    </w:p>
    <w:p w:rsidRPr="000347E5" w:rsidR="00B85C73" w:rsidP="00B85C73" w:rsidRDefault="00B85C73" w14:paraId="1BD63204" w14:textId="77777777">
      <w:pPr>
        <w:rPr>
          <w:strike/>
        </w:rPr>
      </w:pPr>
      <w:r w:rsidRPr="000347E5">
        <w:rPr>
          <w:strike/>
        </w:rPr>
        <w:t>C:\Users\John.Miller1\Commonwealth of Virginia\TM-VDOT-VTRC EPE - Documents\TeamStuff\ProjectStuff\Summer2024\VTrans\Moruza_OneDrive_2024-03-18\Woods &amp; Poole _ VTrans_2025\Local - Example workbooks</w:t>
      </w:r>
    </w:p>
    <w:p w:rsidRPr="00DC614F" w:rsidR="00B85C73" w:rsidP="00B85C73" w:rsidRDefault="000347E5" w14:paraId="27484D9C" w14:textId="4B76DC2E">
      <w:r w:rsidRPr="000347E5">
        <w:t>C:\Users\John.Miller1\Commonwealth of Virginia\TM-VDOT-VTRC EPE - Documents\TeamStuff\TemporaryStuff\WoodsPoole\Woods&amp;Poole2024\SP_2024_DC_MD_VA.zip\WP_Download_2024\SP_2024_DC_MD_VA</w:t>
      </w:r>
    </w:p>
    <w:p w:rsidR="00DC614F" w:rsidP="00092477" w:rsidRDefault="00F63C9C" w14:paraId="5DB3B171" w14:textId="7C835637">
      <w:r w:rsidRPr="00F63C9C">
        <w:rPr>
          <w:noProof/>
        </w:rPr>
        <w:drawing>
          <wp:inline distT="0" distB="0" distL="0" distR="0" wp14:anchorId="558F82ED" wp14:editId="43EACD77">
            <wp:extent cx="5943600" cy="4570730"/>
            <wp:effectExtent l="0" t="0" r="0" b="1270"/>
            <wp:docPr id="93641916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9162" name="Picture 1" descr="Table&#10;&#10;AI-generated content may be incorrect."/>
                    <pic:cNvPicPr/>
                  </pic:nvPicPr>
                  <pic:blipFill>
                    <a:blip r:embed="rId19"/>
                    <a:stretch>
                      <a:fillRect/>
                    </a:stretch>
                  </pic:blipFill>
                  <pic:spPr>
                    <a:xfrm>
                      <a:off x="0" y="0"/>
                      <a:ext cx="5943600" cy="4570730"/>
                    </a:xfrm>
                    <a:prstGeom prst="rect">
                      <a:avLst/>
                    </a:prstGeom>
                  </pic:spPr>
                </pic:pic>
              </a:graphicData>
            </a:graphic>
          </wp:inline>
        </w:drawing>
      </w:r>
    </w:p>
    <w:sectPr w:rsidR="00DC614F" w:rsidSect="00517031">
      <w:footerReference w:type="default" r:id="rId20"/>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3A90" w:rsidP="002B3A90" w:rsidRDefault="002B3A90" w14:paraId="2A8F078A" w14:textId="77777777">
      <w:pPr>
        <w:spacing w:after="0" w:line="240" w:lineRule="auto"/>
      </w:pPr>
      <w:r>
        <w:separator/>
      </w:r>
    </w:p>
  </w:endnote>
  <w:endnote w:type="continuationSeparator" w:id="0">
    <w:p w:rsidR="002B3A90" w:rsidP="002B3A90" w:rsidRDefault="002B3A90" w14:paraId="729DF3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712755"/>
      <w:docPartObj>
        <w:docPartGallery w:val="Page Numbers (Bottom of Page)"/>
        <w:docPartUnique/>
      </w:docPartObj>
    </w:sdtPr>
    <w:sdtEndPr>
      <w:rPr>
        <w:noProof/>
      </w:rPr>
    </w:sdtEndPr>
    <w:sdtContent>
      <w:p w:rsidR="002B3A90" w:rsidRDefault="002B3A90" w14:paraId="599A2036" w14:textId="030F36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B3A90" w:rsidRDefault="002B3A90" w14:paraId="4C26DAC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3A90" w:rsidP="002B3A90" w:rsidRDefault="002B3A90" w14:paraId="2D7EDAC7" w14:textId="77777777">
      <w:pPr>
        <w:spacing w:after="0" w:line="240" w:lineRule="auto"/>
      </w:pPr>
      <w:r>
        <w:separator/>
      </w:r>
    </w:p>
  </w:footnote>
  <w:footnote w:type="continuationSeparator" w:id="0">
    <w:p w:rsidR="002B3A90" w:rsidP="002B3A90" w:rsidRDefault="002B3A90" w14:paraId="2856942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D45"/>
    <w:multiLevelType w:val="multilevel"/>
    <w:tmpl w:val="3EE438A8"/>
    <w:lvl w:ilvl="0">
      <w:start w:val="1"/>
      <w:numFmt w:val="bullet"/>
      <w:lvlText w:val="o"/>
      <w:lvlJc w:val="left"/>
      <w:pPr>
        <w:tabs>
          <w:tab w:val="num" w:pos="1080"/>
        </w:tabs>
        <w:ind w:left="1080" w:hanging="360"/>
      </w:pPr>
      <w:rPr>
        <w:rFonts w:hint="default" w:ascii="Courier New" w:hAnsi="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o"/>
      <w:lvlJc w:val="left"/>
      <w:pPr>
        <w:tabs>
          <w:tab w:val="num" w:pos="2520"/>
        </w:tabs>
        <w:ind w:left="2520" w:hanging="360"/>
      </w:pPr>
      <w:rPr>
        <w:rFonts w:hint="default" w:ascii="Courier New" w:hAnsi="Courier New"/>
        <w:sz w:val="20"/>
      </w:rPr>
    </w:lvl>
    <w:lvl w:ilvl="3" w:tentative="1">
      <w:start w:val="1"/>
      <w:numFmt w:val="bullet"/>
      <w:lvlText w:val="o"/>
      <w:lvlJc w:val="left"/>
      <w:pPr>
        <w:tabs>
          <w:tab w:val="num" w:pos="3240"/>
        </w:tabs>
        <w:ind w:left="3240" w:hanging="360"/>
      </w:pPr>
      <w:rPr>
        <w:rFonts w:hint="default" w:ascii="Courier New" w:hAnsi="Courier New"/>
        <w:sz w:val="20"/>
      </w:rPr>
    </w:lvl>
    <w:lvl w:ilvl="4" w:tentative="1">
      <w:start w:val="1"/>
      <w:numFmt w:val="bullet"/>
      <w:lvlText w:val="o"/>
      <w:lvlJc w:val="left"/>
      <w:pPr>
        <w:tabs>
          <w:tab w:val="num" w:pos="3960"/>
        </w:tabs>
        <w:ind w:left="3960" w:hanging="360"/>
      </w:pPr>
      <w:rPr>
        <w:rFonts w:hint="default" w:ascii="Courier New" w:hAnsi="Courier New"/>
        <w:sz w:val="20"/>
      </w:rPr>
    </w:lvl>
    <w:lvl w:ilvl="5" w:tentative="1">
      <w:start w:val="1"/>
      <w:numFmt w:val="bullet"/>
      <w:lvlText w:val="o"/>
      <w:lvlJc w:val="left"/>
      <w:pPr>
        <w:tabs>
          <w:tab w:val="num" w:pos="4680"/>
        </w:tabs>
        <w:ind w:left="4680" w:hanging="360"/>
      </w:pPr>
      <w:rPr>
        <w:rFonts w:hint="default" w:ascii="Courier New" w:hAnsi="Courier New"/>
        <w:sz w:val="20"/>
      </w:rPr>
    </w:lvl>
    <w:lvl w:ilvl="6" w:tentative="1">
      <w:start w:val="1"/>
      <w:numFmt w:val="bullet"/>
      <w:lvlText w:val="o"/>
      <w:lvlJc w:val="left"/>
      <w:pPr>
        <w:tabs>
          <w:tab w:val="num" w:pos="5400"/>
        </w:tabs>
        <w:ind w:left="5400" w:hanging="360"/>
      </w:pPr>
      <w:rPr>
        <w:rFonts w:hint="default" w:ascii="Courier New" w:hAnsi="Courier New"/>
        <w:sz w:val="20"/>
      </w:rPr>
    </w:lvl>
    <w:lvl w:ilvl="7" w:tentative="1">
      <w:start w:val="1"/>
      <w:numFmt w:val="bullet"/>
      <w:lvlText w:val="o"/>
      <w:lvlJc w:val="left"/>
      <w:pPr>
        <w:tabs>
          <w:tab w:val="num" w:pos="6120"/>
        </w:tabs>
        <w:ind w:left="6120" w:hanging="360"/>
      </w:pPr>
      <w:rPr>
        <w:rFonts w:hint="default" w:ascii="Courier New" w:hAnsi="Courier New"/>
        <w:sz w:val="20"/>
      </w:rPr>
    </w:lvl>
    <w:lvl w:ilvl="8" w:tentative="1">
      <w:start w:val="1"/>
      <w:numFmt w:val="bullet"/>
      <w:lvlText w:val="o"/>
      <w:lvlJc w:val="left"/>
      <w:pPr>
        <w:tabs>
          <w:tab w:val="num" w:pos="6840"/>
        </w:tabs>
        <w:ind w:left="6840" w:hanging="360"/>
      </w:pPr>
      <w:rPr>
        <w:rFonts w:hint="default" w:ascii="Courier New" w:hAnsi="Courier New"/>
        <w:sz w:val="20"/>
      </w:rPr>
    </w:lvl>
  </w:abstractNum>
  <w:abstractNum w:abstractNumId="1" w15:restartNumberingAfterBreak="0">
    <w:nsid w:val="35F53171"/>
    <w:multiLevelType w:val="multilevel"/>
    <w:tmpl w:val="D6F27F42"/>
    <w:lvl w:ilvl="0">
      <w:start w:val="1"/>
      <w:numFmt w:val="bullet"/>
      <w:lvlText w:val="o"/>
      <w:lvlJc w:val="left"/>
      <w:pPr>
        <w:tabs>
          <w:tab w:val="num" w:pos="1080"/>
        </w:tabs>
        <w:ind w:left="1080" w:hanging="360"/>
      </w:pPr>
      <w:rPr>
        <w:rFonts w:hint="default" w:ascii="Courier New" w:hAnsi="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o"/>
      <w:lvlJc w:val="left"/>
      <w:pPr>
        <w:tabs>
          <w:tab w:val="num" w:pos="2520"/>
        </w:tabs>
        <w:ind w:left="2520" w:hanging="360"/>
      </w:pPr>
      <w:rPr>
        <w:rFonts w:hint="default" w:ascii="Courier New" w:hAnsi="Courier New"/>
        <w:sz w:val="20"/>
      </w:rPr>
    </w:lvl>
    <w:lvl w:ilvl="3" w:tentative="1">
      <w:start w:val="1"/>
      <w:numFmt w:val="bullet"/>
      <w:lvlText w:val="o"/>
      <w:lvlJc w:val="left"/>
      <w:pPr>
        <w:tabs>
          <w:tab w:val="num" w:pos="3240"/>
        </w:tabs>
        <w:ind w:left="3240" w:hanging="360"/>
      </w:pPr>
      <w:rPr>
        <w:rFonts w:hint="default" w:ascii="Courier New" w:hAnsi="Courier New"/>
        <w:sz w:val="20"/>
      </w:rPr>
    </w:lvl>
    <w:lvl w:ilvl="4" w:tentative="1">
      <w:start w:val="1"/>
      <w:numFmt w:val="bullet"/>
      <w:lvlText w:val="o"/>
      <w:lvlJc w:val="left"/>
      <w:pPr>
        <w:tabs>
          <w:tab w:val="num" w:pos="3960"/>
        </w:tabs>
        <w:ind w:left="3960" w:hanging="360"/>
      </w:pPr>
      <w:rPr>
        <w:rFonts w:hint="default" w:ascii="Courier New" w:hAnsi="Courier New"/>
        <w:sz w:val="20"/>
      </w:rPr>
    </w:lvl>
    <w:lvl w:ilvl="5" w:tentative="1">
      <w:start w:val="1"/>
      <w:numFmt w:val="bullet"/>
      <w:lvlText w:val="o"/>
      <w:lvlJc w:val="left"/>
      <w:pPr>
        <w:tabs>
          <w:tab w:val="num" w:pos="4680"/>
        </w:tabs>
        <w:ind w:left="4680" w:hanging="360"/>
      </w:pPr>
      <w:rPr>
        <w:rFonts w:hint="default" w:ascii="Courier New" w:hAnsi="Courier New"/>
        <w:sz w:val="20"/>
      </w:rPr>
    </w:lvl>
    <w:lvl w:ilvl="6" w:tentative="1">
      <w:start w:val="1"/>
      <w:numFmt w:val="bullet"/>
      <w:lvlText w:val="o"/>
      <w:lvlJc w:val="left"/>
      <w:pPr>
        <w:tabs>
          <w:tab w:val="num" w:pos="5400"/>
        </w:tabs>
        <w:ind w:left="5400" w:hanging="360"/>
      </w:pPr>
      <w:rPr>
        <w:rFonts w:hint="default" w:ascii="Courier New" w:hAnsi="Courier New"/>
        <w:sz w:val="20"/>
      </w:rPr>
    </w:lvl>
    <w:lvl w:ilvl="7" w:tentative="1">
      <w:start w:val="1"/>
      <w:numFmt w:val="bullet"/>
      <w:lvlText w:val="o"/>
      <w:lvlJc w:val="left"/>
      <w:pPr>
        <w:tabs>
          <w:tab w:val="num" w:pos="6120"/>
        </w:tabs>
        <w:ind w:left="6120" w:hanging="360"/>
      </w:pPr>
      <w:rPr>
        <w:rFonts w:hint="default" w:ascii="Courier New" w:hAnsi="Courier New"/>
        <w:sz w:val="20"/>
      </w:rPr>
    </w:lvl>
    <w:lvl w:ilvl="8" w:tentative="1">
      <w:start w:val="1"/>
      <w:numFmt w:val="bullet"/>
      <w:lvlText w:val="o"/>
      <w:lvlJc w:val="left"/>
      <w:pPr>
        <w:tabs>
          <w:tab w:val="num" w:pos="6840"/>
        </w:tabs>
        <w:ind w:left="6840" w:hanging="360"/>
      </w:pPr>
      <w:rPr>
        <w:rFonts w:hint="default" w:ascii="Courier New" w:hAnsi="Courier New"/>
        <w:sz w:val="20"/>
      </w:rPr>
    </w:lvl>
  </w:abstractNum>
  <w:abstractNum w:abstractNumId="2" w15:restartNumberingAfterBreak="0">
    <w:nsid w:val="3E1A2649"/>
    <w:multiLevelType w:val="hybridMultilevel"/>
    <w:tmpl w:val="1DC0C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E8F2592"/>
    <w:multiLevelType w:val="multilevel"/>
    <w:tmpl w:val="28E2CF52"/>
    <w:lvl w:ilvl="0">
      <w:start w:val="1"/>
      <w:numFmt w:val="bullet"/>
      <w:lvlText w:val="o"/>
      <w:lvlJc w:val="left"/>
      <w:pPr>
        <w:tabs>
          <w:tab w:val="num" w:pos="1080"/>
        </w:tabs>
        <w:ind w:left="1080" w:hanging="360"/>
      </w:pPr>
      <w:rPr>
        <w:rFonts w:hint="default" w:ascii="Courier New" w:hAnsi="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o"/>
      <w:lvlJc w:val="left"/>
      <w:pPr>
        <w:tabs>
          <w:tab w:val="num" w:pos="2520"/>
        </w:tabs>
        <w:ind w:left="2520" w:hanging="360"/>
      </w:pPr>
      <w:rPr>
        <w:rFonts w:hint="default" w:ascii="Courier New" w:hAnsi="Courier New"/>
        <w:sz w:val="20"/>
      </w:rPr>
    </w:lvl>
    <w:lvl w:ilvl="3" w:tentative="1">
      <w:start w:val="1"/>
      <w:numFmt w:val="bullet"/>
      <w:lvlText w:val="o"/>
      <w:lvlJc w:val="left"/>
      <w:pPr>
        <w:tabs>
          <w:tab w:val="num" w:pos="3240"/>
        </w:tabs>
        <w:ind w:left="3240" w:hanging="360"/>
      </w:pPr>
      <w:rPr>
        <w:rFonts w:hint="default" w:ascii="Courier New" w:hAnsi="Courier New"/>
        <w:sz w:val="20"/>
      </w:rPr>
    </w:lvl>
    <w:lvl w:ilvl="4" w:tentative="1">
      <w:start w:val="1"/>
      <w:numFmt w:val="bullet"/>
      <w:lvlText w:val="o"/>
      <w:lvlJc w:val="left"/>
      <w:pPr>
        <w:tabs>
          <w:tab w:val="num" w:pos="3960"/>
        </w:tabs>
        <w:ind w:left="3960" w:hanging="360"/>
      </w:pPr>
      <w:rPr>
        <w:rFonts w:hint="default" w:ascii="Courier New" w:hAnsi="Courier New"/>
        <w:sz w:val="20"/>
      </w:rPr>
    </w:lvl>
    <w:lvl w:ilvl="5" w:tentative="1">
      <w:start w:val="1"/>
      <w:numFmt w:val="bullet"/>
      <w:lvlText w:val="o"/>
      <w:lvlJc w:val="left"/>
      <w:pPr>
        <w:tabs>
          <w:tab w:val="num" w:pos="4680"/>
        </w:tabs>
        <w:ind w:left="4680" w:hanging="360"/>
      </w:pPr>
      <w:rPr>
        <w:rFonts w:hint="default" w:ascii="Courier New" w:hAnsi="Courier New"/>
        <w:sz w:val="20"/>
      </w:rPr>
    </w:lvl>
    <w:lvl w:ilvl="6" w:tentative="1">
      <w:start w:val="1"/>
      <w:numFmt w:val="bullet"/>
      <w:lvlText w:val="o"/>
      <w:lvlJc w:val="left"/>
      <w:pPr>
        <w:tabs>
          <w:tab w:val="num" w:pos="5400"/>
        </w:tabs>
        <w:ind w:left="5400" w:hanging="360"/>
      </w:pPr>
      <w:rPr>
        <w:rFonts w:hint="default" w:ascii="Courier New" w:hAnsi="Courier New"/>
        <w:sz w:val="20"/>
      </w:rPr>
    </w:lvl>
    <w:lvl w:ilvl="7" w:tentative="1">
      <w:start w:val="1"/>
      <w:numFmt w:val="bullet"/>
      <w:lvlText w:val="o"/>
      <w:lvlJc w:val="left"/>
      <w:pPr>
        <w:tabs>
          <w:tab w:val="num" w:pos="6120"/>
        </w:tabs>
        <w:ind w:left="6120" w:hanging="360"/>
      </w:pPr>
      <w:rPr>
        <w:rFonts w:hint="default" w:ascii="Courier New" w:hAnsi="Courier New"/>
        <w:sz w:val="20"/>
      </w:rPr>
    </w:lvl>
    <w:lvl w:ilvl="8" w:tentative="1">
      <w:start w:val="1"/>
      <w:numFmt w:val="bullet"/>
      <w:lvlText w:val="o"/>
      <w:lvlJc w:val="left"/>
      <w:pPr>
        <w:tabs>
          <w:tab w:val="num" w:pos="6840"/>
        </w:tabs>
        <w:ind w:left="6840" w:hanging="360"/>
      </w:pPr>
      <w:rPr>
        <w:rFonts w:hint="default" w:ascii="Courier New" w:hAnsi="Courier New"/>
        <w:sz w:val="20"/>
      </w:rPr>
    </w:lvl>
  </w:abstractNum>
  <w:abstractNum w:abstractNumId="4" w15:restartNumberingAfterBreak="0">
    <w:nsid w:val="60E04C29"/>
    <w:multiLevelType w:val="multilevel"/>
    <w:tmpl w:val="20FE2284"/>
    <w:lvl w:ilvl="0">
      <w:start w:val="1"/>
      <w:numFmt w:val="bullet"/>
      <w:lvlText w:val="o"/>
      <w:lvlJc w:val="left"/>
      <w:pPr>
        <w:tabs>
          <w:tab w:val="num" w:pos="1080"/>
        </w:tabs>
        <w:ind w:left="1080" w:hanging="360"/>
      </w:pPr>
      <w:rPr>
        <w:rFonts w:hint="default" w:ascii="Courier New" w:hAnsi="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o"/>
      <w:lvlJc w:val="left"/>
      <w:pPr>
        <w:tabs>
          <w:tab w:val="num" w:pos="2520"/>
        </w:tabs>
        <w:ind w:left="2520" w:hanging="360"/>
      </w:pPr>
      <w:rPr>
        <w:rFonts w:hint="default" w:ascii="Courier New" w:hAnsi="Courier New"/>
        <w:sz w:val="20"/>
      </w:rPr>
    </w:lvl>
    <w:lvl w:ilvl="3" w:tentative="1">
      <w:start w:val="1"/>
      <w:numFmt w:val="bullet"/>
      <w:lvlText w:val="o"/>
      <w:lvlJc w:val="left"/>
      <w:pPr>
        <w:tabs>
          <w:tab w:val="num" w:pos="3240"/>
        </w:tabs>
        <w:ind w:left="3240" w:hanging="360"/>
      </w:pPr>
      <w:rPr>
        <w:rFonts w:hint="default" w:ascii="Courier New" w:hAnsi="Courier New"/>
        <w:sz w:val="20"/>
      </w:rPr>
    </w:lvl>
    <w:lvl w:ilvl="4" w:tentative="1">
      <w:start w:val="1"/>
      <w:numFmt w:val="bullet"/>
      <w:lvlText w:val="o"/>
      <w:lvlJc w:val="left"/>
      <w:pPr>
        <w:tabs>
          <w:tab w:val="num" w:pos="3960"/>
        </w:tabs>
        <w:ind w:left="3960" w:hanging="360"/>
      </w:pPr>
      <w:rPr>
        <w:rFonts w:hint="default" w:ascii="Courier New" w:hAnsi="Courier New"/>
        <w:sz w:val="20"/>
      </w:rPr>
    </w:lvl>
    <w:lvl w:ilvl="5" w:tentative="1">
      <w:start w:val="1"/>
      <w:numFmt w:val="bullet"/>
      <w:lvlText w:val="o"/>
      <w:lvlJc w:val="left"/>
      <w:pPr>
        <w:tabs>
          <w:tab w:val="num" w:pos="4680"/>
        </w:tabs>
        <w:ind w:left="4680" w:hanging="360"/>
      </w:pPr>
      <w:rPr>
        <w:rFonts w:hint="default" w:ascii="Courier New" w:hAnsi="Courier New"/>
        <w:sz w:val="20"/>
      </w:rPr>
    </w:lvl>
    <w:lvl w:ilvl="6" w:tentative="1">
      <w:start w:val="1"/>
      <w:numFmt w:val="bullet"/>
      <w:lvlText w:val="o"/>
      <w:lvlJc w:val="left"/>
      <w:pPr>
        <w:tabs>
          <w:tab w:val="num" w:pos="5400"/>
        </w:tabs>
        <w:ind w:left="5400" w:hanging="360"/>
      </w:pPr>
      <w:rPr>
        <w:rFonts w:hint="default" w:ascii="Courier New" w:hAnsi="Courier New"/>
        <w:sz w:val="20"/>
      </w:rPr>
    </w:lvl>
    <w:lvl w:ilvl="7" w:tentative="1">
      <w:start w:val="1"/>
      <w:numFmt w:val="bullet"/>
      <w:lvlText w:val="o"/>
      <w:lvlJc w:val="left"/>
      <w:pPr>
        <w:tabs>
          <w:tab w:val="num" w:pos="6120"/>
        </w:tabs>
        <w:ind w:left="6120" w:hanging="360"/>
      </w:pPr>
      <w:rPr>
        <w:rFonts w:hint="default" w:ascii="Courier New" w:hAnsi="Courier New"/>
        <w:sz w:val="20"/>
      </w:rPr>
    </w:lvl>
    <w:lvl w:ilvl="8" w:tentative="1">
      <w:start w:val="1"/>
      <w:numFmt w:val="bullet"/>
      <w:lvlText w:val="o"/>
      <w:lvlJc w:val="left"/>
      <w:pPr>
        <w:tabs>
          <w:tab w:val="num" w:pos="6840"/>
        </w:tabs>
        <w:ind w:left="6840" w:hanging="360"/>
      </w:pPr>
      <w:rPr>
        <w:rFonts w:hint="default" w:ascii="Courier New" w:hAnsi="Courier New"/>
        <w:sz w:val="20"/>
      </w:rPr>
    </w:lvl>
  </w:abstractNum>
  <w:abstractNum w:abstractNumId="5" w15:restartNumberingAfterBreak="0">
    <w:nsid w:val="7DAF7984"/>
    <w:multiLevelType w:val="multilevel"/>
    <w:tmpl w:val="10B06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420875557">
    <w:abstractNumId w:val="5"/>
  </w:num>
  <w:num w:numId="2" w16cid:durableId="341670638">
    <w:abstractNumId w:val="3"/>
  </w:num>
  <w:num w:numId="3" w16cid:durableId="1869681569">
    <w:abstractNumId w:val="0"/>
  </w:num>
  <w:num w:numId="4" w16cid:durableId="1025014232">
    <w:abstractNumId w:val="4"/>
  </w:num>
  <w:num w:numId="5" w16cid:durableId="1361516843">
    <w:abstractNumId w:val="1"/>
  </w:num>
  <w:num w:numId="6" w16cid:durableId="179818223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D"/>
    <w:rsid w:val="000347E5"/>
    <w:rsid w:val="000401AD"/>
    <w:rsid w:val="00092477"/>
    <w:rsid w:val="000D4F5F"/>
    <w:rsid w:val="001076D1"/>
    <w:rsid w:val="00135790"/>
    <w:rsid w:val="001825A1"/>
    <w:rsid w:val="00195B76"/>
    <w:rsid w:val="001E16C0"/>
    <w:rsid w:val="002B3A90"/>
    <w:rsid w:val="00332F7C"/>
    <w:rsid w:val="00340843"/>
    <w:rsid w:val="00352461"/>
    <w:rsid w:val="003912ED"/>
    <w:rsid w:val="00517031"/>
    <w:rsid w:val="00616859"/>
    <w:rsid w:val="00645FBA"/>
    <w:rsid w:val="00695EEC"/>
    <w:rsid w:val="00762DC4"/>
    <w:rsid w:val="00787ABD"/>
    <w:rsid w:val="007B0B50"/>
    <w:rsid w:val="0081689B"/>
    <w:rsid w:val="008651D7"/>
    <w:rsid w:val="008836D2"/>
    <w:rsid w:val="008B3429"/>
    <w:rsid w:val="008D3A03"/>
    <w:rsid w:val="00900B39"/>
    <w:rsid w:val="00A938AF"/>
    <w:rsid w:val="00B25E3B"/>
    <w:rsid w:val="00B85C73"/>
    <w:rsid w:val="00C64F38"/>
    <w:rsid w:val="00CC0700"/>
    <w:rsid w:val="00D91FB3"/>
    <w:rsid w:val="00DC614F"/>
    <w:rsid w:val="00E769EA"/>
    <w:rsid w:val="00F34BED"/>
    <w:rsid w:val="00F63C9C"/>
    <w:rsid w:val="00F85675"/>
    <w:rsid w:val="32D11E0B"/>
    <w:rsid w:val="40404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E194"/>
  <w15:chartTrackingRefBased/>
  <w15:docId w15:val="{B57ED879-89CB-417F-B7C9-751CD8F70B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5EEC"/>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7A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7A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87A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87A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87A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87A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87A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7A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7A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7ABD"/>
    <w:rPr>
      <w:rFonts w:eastAsiaTheme="majorEastAsia" w:cstheme="majorBidi"/>
      <w:color w:val="272727" w:themeColor="text1" w:themeTint="D8"/>
    </w:rPr>
  </w:style>
  <w:style w:type="paragraph" w:styleId="Title">
    <w:name w:val="Title"/>
    <w:basedOn w:val="Normal"/>
    <w:next w:val="Normal"/>
    <w:link w:val="TitleChar"/>
    <w:uiPriority w:val="10"/>
    <w:qFormat/>
    <w:rsid w:val="00787A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87A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7A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BD"/>
    <w:pPr>
      <w:spacing w:before="160"/>
      <w:jc w:val="center"/>
    </w:pPr>
    <w:rPr>
      <w:i/>
      <w:iCs/>
      <w:color w:val="404040" w:themeColor="text1" w:themeTint="BF"/>
    </w:rPr>
  </w:style>
  <w:style w:type="character" w:styleId="QuoteChar" w:customStyle="1">
    <w:name w:val="Quote Char"/>
    <w:basedOn w:val="DefaultParagraphFont"/>
    <w:link w:val="Quote"/>
    <w:uiPriority w:val="29"/>
    <w:rsid w:val="00787ABD"/>
    <w:rPr>
      <w:i/>
      <w:iCs/>
      <w:color w:val="404040" w:themeColor="text1" w:themeTint="BF"/>
    </w:rPr>
  </w:style>
  <w:style w:type="paragraph" w:styleId="ListParagraph">
    <w:name w:val="List Paragraph"/>
    <w:basedOn w:val="Normal"/>
    <w:uiPriority w:val="34"/>
    <w:qFormat/>
    <w:rsid w:val="00787ABD"/>
    <w:pPr>
      <w:ind w:left="720"/>
      <w:contextualSpacing/>
    </w:pPr>
  </w:style>
  <w:style w:type="character" w:styleId="IntenseEmphasis">
    <w:name w:val="Intense Emphasis"/>
    <w:basedOn w:val="DefaultParagraphFont"/>
    <w:uiPriority w:val="21"/>
    <w:qFormat/>
    <w:rsid w:val="00787ABD"/>
    <w:rPr>
      <w:i/>
      <w:iCs/>
      <w:color w:val="0F4761" w:themeColor="accent1" w:themeShade="BF"/>
    </w:rPr>
  </w:style>
  <w:style w:type="paragraph" w:styleId="IntenseQuote">
    <w:name w:val="Intense Quote"/>
    <w:basedOn w:val="Normal"/>
    <w:next w:val="Normal"/>
    <w:link w:val="IntenseQuoteChar"/>
    <w:uiPriority w:val="30"/>
    <w:qFormat/>
    <w:rsid w:val="00787A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87ABD"/>
    <w:rPr>
      <w:i/>
      <w:iCs/>
      <w:color w:val="0F4761" w:themeColor="accent1" w:themeShade="BF"/>
    </w:rPr>
  </w:style>
  <w:style w:type="character" w:styleId="IntenseReference">
    <w:name w:val="Intense Reference"/>
    <w:basedOn w:val="DefaultParagraphFont"/>
    <w:uiPriority w:val="32"/>
    <w:qFormat/>
    <w:rsid w:val="00787ABD"/>
    <w:rPr>
      <w:b/>
      <w:bCs/>
      <w:smallCaps/>
      <w:color w:val="0F4761" w:themeColor="accent1" w:themeShade="BF"/>
      <w:spacing w:val="5"/>
    </w:rPr>
  </w:style>
  <w:style w:type="character" w:styleId="Hyperlink">
    <w:name w:val="Hyperlink"/>
    <w:basedOn w:val="DefaultParagraphFont"/>
    <w:uiPriority w:val="99"/>
    <w:unhideWhenUsed/>
    <w:rsid w:val="00092477"/>
    <w:rPr>
      <w:color w:val="467886" w:themeColor="hyperlink"/>
      <w:u w:val="single"/>
    </w:rPr>
  </w:style>
  <w:style w:type="character" w:styleId="FollowedHyperlink">
    <w:name w:val="FollowedHyperlink"/>
    <w:basedOn w:val="DefaultParagraphFont"/>
    <w:uiPriority w:val="99"/>
    <w:semiHidden/>
    <w:unhideWhenUsed/>
    <w:rsid w:val="00092477"/>
    <w:rPr>
      <w:color w:val="96607D" w:themeColor="followedHyperlink"/>
      <w:u w:val="single"/>
    </w:rPr>
  </w:style>
  <w:style w:type="character" w:styleId="UnresolvedMention">
    <w:name w:val="Unresolved Mention"/>
    <w:basedOn w:val="DefaultParagraphFont"/>
    <w:uiPriority w:val="99"/>
    <w:semiHidden/>
    <w:unhideWhenUsed/>
    <w:rsid w:val="00DC614F"/>
    <w:rPr>
      <w:color w:val="605E5C"/>
      <w:shd w:val="clear" w:color="auto" w:fill="E1DFDD"/>
    </w:rPr>
  </w:style>
  <w:style w:type="paragraph" w:styleId="Header">
    <w:name w:val="header"/>
    <w:basedOn w:val="Normal"/>
    <w:link w:val="HeaderChar"/>
    <w:uiPriority w:val="99"/>
    <w:unhideWhenUsed/>
    <w:rsid w:val="002B3A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2B3A90"/>
    <w:rPr>
      <w:kern w:val="0"/>
      <w:sz w:val="22"/>
      <w:szCs w:val="22"/>
      <w14:ligatures w14:val="none"/>
    </w:rPr>
  </w:style>
  <w:style w:type="paragraph" w:styleId="Footer">
    <w:name w:val="footer"/>
    <w:basedOn w:val="Normal"/>
    <w:link w:val="FooterChar"/>
    <w:uiPriority w:val="99"/>
    <w:unhideWhenUsed/>
    <w:rsid w:val="002B3A90"/>
    <w:pPr>
      <w:tabs>
        <w:tab w:val="center" w:pos="4680"/>
        <w:tab w:val="right" w:pos="9360"/>
      </w:tabs>
      <w:spacing w:after="0" w:line="240" w:lineRule="auto"/>
    </w:pPr>
  </w:style>
  <w:style w:type="character" w:styleId="FooterChar" w:customStyle="1">
    <w:name w:val="Footer Char"/>
    <w:basedOn w:val="DefaultParagraphFont"/>
    <w:link w:val="Footer"/>
    <w:uiPriority w:val="99"/>
    <w:rsid w:val="002B3A9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2184">
      <w:bodyDiv w:val="1"/>
      <w:marLeft w:val="0"/>
      <w:marRight w:val="0"/>
      <w:marTop w:val="0"/>
      <w:marBottom w:val="0"/>
      <w:divBdr>
        <w:top w:val="none" w:sz="0" w:space="0" w:color="auto"/>
        <w:left w:val="none" w:sz="0" w:space="0" w:color="auto"/>
        <w:bottom w:val="none" w:sz="0" w:space="0" w:color="auto"/>
        <w:right w:val="none" w:sz="0" w:space="0" w:color="auto"/>
      </w:divBdr>
    </w:div>
    <w:div w:id="381909077">
      <w:bodyDiv w:val="1"/>
      <w:marLeft w:val="0"/>
      <w:marRight w:val="0"/>
      <w:marTop w:val="0"/>
      <w:marBottom w:val="0"/>
      <w:divBdr>
        <w:top w:val="none" w:sz="0" w:space="0" w:color="auto"/>
        <w:left w:val="none" w:sz="0" w:space="0" w:color="auto"/>
        <w:bottom w:val="none" w:sz="0" w:space="0" w:color="auto"/>
        <w:right w:val="none" w:sz="0" w:space="0" w:color="auto"/>
      </w:divBdr>
      <w:divsChild>
        <w:div w:id="2106922397">
          <w:marLeft w:val="0"/>
          <w:marRight w:val="0"/>
          <w:marTop w:val="0"/>
          <w:marBottom w:val="0"/>
          <w:divBdr>
            <w:top w:val="none" w:sz="0" w:space="0" w:color="auto"/>
            <w:left w:val="none" w:sz="0" w:space="0" w:color="auto"/>
            <w:bottom w:val="none" w:sz="0" w:space="0" w:color="auto"/>
            <w:right w:val="none" w:sz="0" w:space="0" w:color="auto"/>
          </w:divBdr>
        </w:div>
        <w:div w:id="1643925366">
          <w:marLeft w:val="0"/>
          <w:marRight w:val="0"/>
          <w:marTop w:val="0"/>
          <w:marBottom w:val="0"/>
          <w:divBdr>
            <w:top w:val="none" w:sz="0" w:space="0" w:color="auto"/>
            <w:left w:val="none" w:sz="0" w:space="0" w:color="auto"/>
            <w:bottom w:val="none" w:sz="0" w:space="0" w:color="auto"/>
            <w:right w:val="none" w:sz="0" w:space="0" w:color="auto"/>
          </w:divBdr>
        </w:div>
        <w:div w:id="1145778128">
          <w:marLeft w:val="0"/>
          <w:marRight w:val="0"/>
          <w:marTop w:val="0"/>
          <w:marBottom w:val="0"/>
          <w:divBdr>
            <w:top w:val="none" w:sz="0" w:space="0" w:color="auto"/>
            <w:left w:val="none" w:sz="0" w:space="0" w:color="auto"/>
            <w:bottom w:val="none" w:sz="0" w:space="0" w:color="auto"/>
            <w:right w:val="none" w:sz="0" w:space="0" w:color="auto"/>
          </w:divBdr>
        </w:div>
        <w:div w:id="466894110">
          <w:marLeft w:val="0"/>
          <w:marRight w:val="0"/>
          <w:marTop w:val="0"/>
          <w:marBottom w:val="0"/>
          <w:divBdr>
            <w:top w:val="none" w:sz="0" w:space="0" w:color="auto"/>
            <w:left w:val="none" w:sz="0" w:space="0" w:color="auto"/>
            <w:bottom w:val="none" w:sz="0" w:space="0" w:color="auto"/>
            <w:right w:val="none" w:sz="0" w:space="0" w:color="auto"/>
          </w:divBdr>
        </w:div>
        <w:div w:id="776867868">
          <w:marLeft w:val="0"/>
          <w:marRight w:val="0"/>
          <w:marTop w:val="0"/>
          <w:marBottom w:val="0"/>
          <w:divBdr>
            <w:top w:val="none" w:sz="0" w:space="0" w:color="auto"/>
            <w:left w:val="none" w:sz="0" w:space="0" w:color="auto"/>
            <w:bottom w:val="none" w:sz="0" w:space="0" w:color="auto"/>
            <w:right w:val="none" w:sz="0" w:space="0" w:color="auto"/>
          </w:divBdr>
        </w:div>
      </w:divsChild>
    </w:div>
    <w:div w:id="1121993166">
      <w:bodyDiv w:val="1"/>
      <w:marLeft w:val="0"/>
      <w:marRight w:val="0"/>
      <w:marTop w:val="0"/>
      <w:marBottom w:val="0"/>
      <w:divBdr>
        <w:top w:val="none" w:sz="0" w:space="0" w:color="auto"/>
        <w:left w:val="none" w:sz="0" w:space="0" w:color="auto"/>
        <w:bottom w:val="none" w:sz="0" w:space="0" w:color="auto"/>
        <w:right w:val="none" w:sz="0" w:space="0" w:color="auto"/>
      </w:divBdr>
      <w:divsChild>
        <w:div w:id="350649810">
          <w:marLeft w:val="0"/>
          <w:marRight w:val="0"/>
          <w:marTop w:val="0"/>
          <w:marBottom w:val="0"/>
          <w:divBdr>
            <w:top w:val="none" w:sz="0" w:space="0" w:color="auto"/>
            <w:left w:val="none" w:sz="0" w:space="0" w:color="auto"/>
            <w:bottom w:val="none" w:sz="0" w:space="0" w:color="auto"/>
            <w:right w:val="none" w:sz="0" w:space="0" w:color="auto"/>
          </w:divBdr>
        </w:div>
        <w:div w:id="497312703">
          <w:marLeft w:val="0"/>
          <w:marRight w:val="0"/>
          <w:marTop w:val="0"/>
          <w:marBottom w:val="0"/>
          <w:divBdr>
            <w:top w:val="none" w:sz="0" w:space="0" w:color="auto"/>
            <w:left w:val="none" w:sz="0" w:space="0" w:color="auto"/>
            <w:bottom w:val="none" w:sz="0" w:space="0" w:color="auto"/>
            <w:right w:val="none" w:sz="0" w:space="0" w:color="auto"/>
          </w:divBdr>
        </w:div>
        <w:div w:id="231237238">
          <w:marLeft w:val="0"/>
          <w:marRight w:val="0"/>
          <w:marTop w:val="0"/>
          <w:marBottom w:val="0"/>
          <w:divBdr>
            <w:top w:val="none" w:sz="0" w:space="0" w:color="auto"/>
            <w:left w:val="none" w:sz="0" w:space="0" w:color="auto"/>
            <w:bottom w:val="none" w:sz="0" w:space="0" w:color="auto"/>
            <w:right w:val="none" w:sz="0" w:space="0" w:color="auto"/>
          </w:divBdr>
        </w:div>
        <w:div w:id="501704645">
          <w:marLeft w:val="0"/>
          <w:marRight w:val="0"/>
          <w:marTop w:val="0"/>
          <w:marBottom w:val="0"/>
          <w:divBdr>
            <w:top w:val="none" w:sz="0" w:space="0" w:color="auto"/>
            <w:left w:val="none" w:sz="0" w:space="0" w:color="auto"/>
            <w:bottom w:val="none" w:sz="0" w:space="0" w:color="auto"/>
            <w:right w:val="none" w:sz="0" w:space="0" w:color="auto"/>
          </w:divBdr>
        </w:div>
        <w:div w:id="1476608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lehd.ces.census.gov/data/" TargetMode="External" Id="rId13" /><Relationship Type="http://schemas.openxmlformats.org/officeDocument/2006/relationships/hyperlink" Target="https://www2.census.gov/geo/docs/reference/codes2020/cou/st51_va_cou2020.txt" TargetMode="Externa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image" Target="media/image7.png" Id="rId17" /><Relationship Type="http://schemas.openxmlformats.org/officeDocument/2006/relationships/styles" Target="styles.xml" Id="rId2" /><Relationship Type="http://schemas.openxmlformats.org/officeDocument/2006/relationships/hyperlink" Target="https://www.census.gov/programs-surveys/geography/guidance/geo-identifiers.html" TargetMode="External" Id="rId16"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image" Target="media/image3.png" Id="rId10" /><Relationship Type="http://schemas.openxmlformats.org/officeDocument/2006/relationships/image" Target="media/image8.png"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yperlink" Target="https://lehd.ces.census.gov/doc/help/onthemap/LODESTechDoc.pdf" TargetMode="External" Id="rId14" /><Relationship Type="http://schemas.openxmlformats.org/officeDocument/2006/relationships/theme" Target="theme/theme1.xml" Id="rId22" /><Relationship Type="http://schemas.openxmlformats.org/officeDocument/2006/relationships/hyperlink" Target="https://virginia.box.com/s/irjud9jhn28x5w6kq0gjz1ytm484wu74" TargetMode="External" Id="R2e1edad9430540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Miller, John S. (VDOT)</dc:creator>
  <keywords/>
  <dc:description/>
  <lastModifiedBy>Clements, Max (ddv5df)</lastModifiedBy>
  <revision>17</revision>
  <dcterms:created xsi:type="dcterms:W3CDTF">2025-11-03T18:56:00.0000000Z</dcterms:created>
  <dcterms:modified xsi:type="dcterms:W3CDTF">2026-04-21T17:16:26.6821596Z</dcterms:modified>
</coreProperties>
</file>