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621F" w14:textId="69E6E18D" w:rsidR="00092477" w:rsidRDefault="00092477" w:rsidP="00517031">
      <w:pPr>
        <w:jc w:val="center"/>
        <w:rPr>
          <w:b/>
          <w:bCs/>
        </w:rPr>
      </w:pPr>
      <w:r w:rsidRPr="00092477">
        <w:rPr>
          <w:b/>
          <w:bCs/>
        </w:rPr>
        <w:t xml:space="preserve">Explanation of how to get data for </w:t>
      </w:r>
      <w:r w:rsidR="0002614F">
        <w:rPr>
          <w:b/>
          <w:bCs/>
        </w:rPr>
        <w:t>23</w:t>
      </w:r>
      <w:r w:rsidR="0002614F" w:rsidRPr="0002614F">
        <w:rPr>
          <w:b/>
          <w:bCs/>
        </w:rPr>
        <w:t>_bzone_hh_inc_qrtl_prop</w:t>
      </w:r>
      <w:r w:rsidRPr="00092477">
        <w:rPr>
          <w:b/>
          <w:bCs/>
        </w:rPr>
        <w:t>.csv</w:t>
      </w:r>
    </w:p>
    <w:p w14:paraId="786F1A9A" w14:textId="5F0B1040" w:rsidR="0081689B" w:rsidRDefault="008406B6" w:rsidP="00517031">
      <w:pPr>
        <w:jc w:val="center"/>
        <w:rPr>
          <w:b/>
          <w:bCs/>
        </w:rPr>
      </w:pPr>
      <w:r>
        <w:rPr>
          <w:b/>
          <w:bCs/>
        </w:rPr>
        <w:t>April 6, 2026</w:t>
      </w:r>
    </w:p>
    <w:p w14:paraId="2910A23B" w14:textId="77777777" w:rsidR="0081689B" w:rsidRPr="000D2CAD" w:rsidRDefault="0081689B" w:rsidP="0081689B">
      <w:pPr>
        <w:tabs>
          <w:tab w:val="num" w:pos="720"/>
        </w:tabs>
        <w:spacing w:line="240" w:lineRule="auto"/>
        <w:rPr>
          <w:rFonts w:asciiTheme="majorHAnsi" w:hAnsiTheme="majorHAnsi" w:cstheme="majorHAnsi"/>
          <w:b/>
          <w:bCs/>
          <w:sz w:val="24"/>
          <w:szCs w:val="24"/>
        </w:rPr>
      </w:pPr>
      <w:r w:rsidRPr="000D2CAD">
        <w:rPr>
          <w:rFonts w:asciiTheme="majorHAnsi" w:hAnsiTheme="majorHAnsi" w:cstheme="majorHAnsi"/>
          <w:b/>
          <w:bCs/>
          <w:sz w:val="24"/>
          <w:szCs w:val="24"/>
        </w:rPr>
        <w:t>Definition of the Input File</w:t>
      </w:r>
    </w:p>
    <w:p w14:paraId="1E48CDBE" w14:textId="2BBF929F" w:rsidR="0002614F" w:rsidRDefault="0081689B" w:rsidP="00E769EA">
      <w:pPr>
        <w:tabs>
          <w:tab w:val="num" w:pos="720"/>
        </w:tabs>
        <w:spacing w:line="240" w:lineRule="auto"/>
        <w:rPr>
          <w:rFonts w:ascii="Calibri" w:hAnsi="Calibri" w:cs="Calibri"/>
          <w:sz w:val="24"/>
          <w:szCs w:val="24"/>
        </w:rPr>
      </w:pPr>
      <w:r w:rsidRPr="000D2CAD">
        <w:rPr>
          <w:rFonts w:asciiTheme="majorHAnsi" w:hAnsiTheme="majorHAnsi" w:cstheme="majorHAnsi"/>
          <w:sz w:val="24"/>
          <w:szCs w:val="24"/>
        </w:rPr>
        <w:tab/>
      </w:r>
      <w:r w:rsidRPr="00447D8C">
        <w:rPr>
          <w:rFonts w:ascii="Calibri" w:hAnsi="Calibri" w:cs="Calibri"/>
          <w:sz w:val="24"/>
          <w:szCs w:val="24"/>
        </w:rPr>
        <w:t xml:space="preserve">VisionEval (https://visioneval.github.io/docs/model-inputs.html) explains that this file </w:t>
      </w:r>
      <w:r w:rsidR="0002614F" w:rsidRPr="00447D8C">
        <w:rPr>
          <w:rFonts w:ascii="Calibri" w:hAnsi="Calibri" w:cs="Calibri"/>
          <w:sz w:val="24"/>
          <w:szCs w:val="24"/>
        </w:rPr>
        <w:t>has “the proportion of households in 1st, 2nd, 3rd, and 4th quartile of household income.”</w:t>
      </w:r>
      <w:r w:rsidR="00447D8C" w:rsidRPr="00447D8C">
        <w:rPr>
          <w:rFonts w:ascii="Calibri" w:hAnsi="Calibri" w:cs="Calibri"/>
          <w:sz w:val="24"/>
          <w:szCs w:val="24"/>
        </w:rPr>
        <w:t xml:space="preserve">  More specifically, these are proportions are intended to be by Azone (see </w:t>
      </w:r>
      <w:hyperlink r:id="rId7" w:anchor="verspm-household-proportion-by-income-bzone_hh_inc_qrtl_prop.csv" w:history="1">
        <w:r w:rsidR="00447D8C" w:rsidRPr="00447D8C">
          <w:rPr>
            <w:rStyle w:val="Hyperlink"/>
            <w:rFonts w:ascii="Calibri" w:hAnsi="Calibri" w:cs="Calibri"/>
            <w:sz w:val="24"/>
            <w:szCs w:val="24"/>
          </w:rPr>
          <w:t>https:</w:t>
        </w:r>
        <w:r w:rsidR="00447D8C" w:rsidRPr="00447D8C">
          <w:rPr>
            <w:rStyle w:val="Hyperlink"/>
            <w:rFonts w:ascii="Calibri" w:hAnsi="Calibri" w:cs="Calibri"/>
            <w:sz w:val="24"/>
            <w:szCs w:val="24"/>
          </w:rPr>
          <w:t>/</w:t>
        </w:r>
        <w:r w:rsidR="00447D8C" w:rsidRPr="00447D8C">
          <w:rPr>
            <w:rStyle w:val="Hyperlink"/>
            <w:rFonts w:ascii="Calibri" w:hAnsi="Calibri" w:cs="Calibri"/>
            <w:sz w:val="24"/>
            <w:szCs w:val="24"/>
          </w:rPr>
          <w:t>/visioneval.github.io/docs/model-inputs.html#verspm-household-proportion-by-income-bzone_hh_inc_qrtl</w:t>
        </w:r>
        <w:r w:rsidR="00447D8C" w:rsidRPr="00447D8C">
          <w:rPr>
            <w:rStyle w:val="Hyperlink"/>
            <w:rFonts w:ascii="Calibri" w:hAnsi="Calibri" w:cs="Calibri"/>
            <w:sz w:val="24"/>
            <w:szCs w:val="24"/>
          </w:rPr>
          <w:t>_</w:t>
        </w:r>
        <w:r w:rsidR="00447D8C" w:rsidRPr="00447D8C">
          <w:rPr>
            <w:rStyle w:val="Hyperlink"/>
            <w:rFonts w:ascii="Calibri" w:hAnsi="Calibri" w:cs="Calibri"/>
            <w:sz w:val="24"/>
            <w:szCs w:val="24"/>
          </w:rPr>
          <w:t>prop.csv</w:t>
        </w:r>
      </w:hyperlink>
      <w:r w:rsidR="00447D8C" w:rsidRPr="00447D8C">
        <w:rPr>
          <w:rFonts w:ascii="Calibri" w:hAnsi="Calibri" w:cs="Calibri"/>
          <w:sz w:val="24"/>
          <w:szCs w:val="24"/>
        </w:rPr>
        <w:t>)</w:t>
      </w:r>
      <w:r w:rsidR="00447D8C">
        <w:rPr>
          <w:rFonts w:ascii="Calibri" w:hAnsi="Calibri" w:cs="Calibri"/>
          <w:sz w:val="24"/>
          <w:szCs w:val="24"/>
        </w:rPr>
        <w:t xml:space="preserve">.  For example, consider </w:t>
      </w:r>
      <w:r w:rsidR="00272ECC">
        <w:rPr>
          <w:rFonts w:ascii="Calibri" w:hAnsi="Calibri" w:cs="Calibri"/>
          <w:sz w:val="24"/>
          <w:szCs w:val="24"/>
        </w:rPr>
        <w:t>B</w:t>
      </w:r>
      <w:r w:rsidR="00447D8C">
        <w:rPr>
          <w:rFonts w:ascii="Calibri" w:hAnsi="Calibri" w:cs="Calibri"/>
          <w:sz w:val="24"/>
          <w:szCs w:val="24"/>
        </w:rPr>
        <w:t xml:space="preserve">zone </w:t>
      </w:r>
      <w:r w:rsidR="00447D8C" w:rsidRPr="00447D8C">
        <w:rPr>
          <w:rFonts w:ascii="Calibri" w:hAnsi="Calibri" w:cs="Calibri"/>
          <w:sz w:val="24"/>
          <w:szCs w:val="24"/>
        </w:rPr>
        <w:t>515400010001</w:t>
      </w:r>
      <w:r w:rsidR="00447D8C">
        <w:rPr>
          <w:rFonts w:ascii="Calibri" w:hAnsi="Calibri" w:cs="Calibri"/>
          <w:sz w:val="24"/>
          <w:szCs w:val="24"/>
        </w:rPr>
        <w:t xml:space="preserve"> which is in the City of Charlottesville (Azone 540).  The data below suggest that 28.8% of the households in this bzone are in the lowest quartile of income for the City of Charlottesville and that 15.8% of the households in this bzone are in the highest quartile of incomes for the City of Charlottesville).</w:t>
      </w:r>
    </w:p>
    <w:p w14:paraId="32A7FD7F" w14:textId="341927CA" w:rsidR="00447D8C" w:rsidRDefault="008406B6" w:rsidP="00E769EA">
      <w:pPr>
        <w:tabs>
          <w:tab w:val="num" w:pos="720"/>
        </w:tabs>
        <w:spacing w:line="240" w:lineRule="auto"/>
        <w:rPr>
          <w:rFonts w:asciiTheme="majorHAnsi" w:hAnsiTheme="majorHAnsi" w:cstheme="majorHAnsi"/>
          <w:sz w:val="24"/>
          <w:szCs w:val="24"/>
        </w:rPr>
      </w:pPr>
      <w:r w:rsidRPr="008406B6">
        <w:rPr>
          <w:rFonts w:asciiTheme="majorHAnsi" w:hAnsiTheme="majorHAnsi" w:cstheme="majorHAnsi"/>
          <w:sz w:val="24"/>
          <w:szCs w:val="24"/>
        </w:rPr>
        <w:drawing>
          <wp:inline distT="0" distB="0" distL="0" distR="0" wp14:anchorId="44184E45" wp14:editId="737F7764">
            <wp:extent cx="4620270" cy="771633"/>
            <wp:effectExtent l="0" t="0" r="0" b="9525"/>
            <wp:docPr id="156018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2315" name=""/>
                    <pic:cNvPicPr/>
                  </pic:nvPicPr>
                  <pic:blipFill>
                    <a:blip r:embed="rId8"/>
                    <a:stretch>
                      <a:fillRect/>
                    </a:stretch>
                  </pic:blipFill>
                  <pic:spPr>
                    <a:xfrm>
                      <a:off x="0" y="0"/>
                      <a:ext cx="4620270" cy="771633"/>
                    </a:xfrm>
                    <a:prstGeom prst="rect">
                      <a:avLst/>
                    </a:prstGeom>
                  </pic:spPr>
                </pic:pic>
              </a:graphicData>
            </a:graphic>
          </wp:inline>
        </w:drawing>
      </w:r>
    </w:p>
    <w:p w14:paraId="029BF55E" w14:textId="023D785E" w:rsidR="008406B6" w:rsidRDefault="008406B6" w:rsidP="008406B6">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ab/>
        <w:t xml:space="preserve">Data for two other Bzones in a different Azone (003, Albemarle County) are also shown.  For Bzone </w:t>
      </w:r>
      <w:r w:rsidRPr="000A5ADB">
        <w:rPr>
          <w:rFonts w:asciiTheme="majorHAnsi" w:hAnsiTheme="majorHAnsi" w:cstheme="majorHAnsi"/>
          <w:sz w:val="24"/>
          <w:szCs w:val="24"/>
        </w:rPr>
        <w:t>510030107021</w:t>
      </w:r>
      <w:r>
        <w:rPr>
          <w:rFonts w:asciiTheme="majorHAnsi" w:hAnsiTheme="majorHAnsi" w:cstheme="majorHAnsi"/>
          <w:sz w:val="24"/>
          <w:szCs w:val="24"/>
        </w:rPr>
        <w:t xml:space="preserve"> (a suburban area near Route 29 in Albemarle County with some employment)</w:t>
      </w:r>
      <w:r>
        <w:rPr>
          <w:rFonts w:asciiTheme="majorHAnsi" w:hAnsiTheme="majorHAnsi" w:cstheme="majorHAnsi"/>
          <w:sz w:val="24"/>
          <w:szCs w:val="24"/>
        </w:rPr>
        <w:t xml:space="preserve">, just 3% of these households are in the highest quartile of incomes for Albemarle County.  By contrast, for Bzone </w:t>
      </w:r>
      <w:r w:rsidRPr="000A5ADB">
        <w:rPr>
          <w:rFonts w:asciiTheme="majorHAnsi" w:hAnsiTheme="majorHAnsi" w:cstheme="majorHAnsi"/>
          <w:sz w:val="24"/>
          <w:szCs w:val="24"/>
        </w:rPr>
        <w:t>510030110004</w:t>
      </w:r>
      <w:r>
        <w:rPr>
          <w:rFonts w:asciiTheme="majorHAnsi" w:hAnsiTheme="majorHAnsi" w:cstheme="majorHAnsi"/>
          <w:sz w:val="24"/>
          <w:szCs w:val="24"/>
        </w:rPr>
        <w:t xml:space="preserve"> (a rural residential area in Albemarle County)</w:t>
      </w:r>
      <w:r>
        <w:rPr>
          <w:rFonts w:asciiTheme="majorHAnsi" w:hAnsiTheme="majorHAnsi" w:cstheme="majorHAnsi"/>
          <w:sz w:val="24"/>
          <w:szCs w:val="24"/>
        </w:rPr>
        <w:t>, 25.9% of the households are in the highest quartile of incomes for Albemarle County.</w:t>
      </w:r>
    </w:p>
    <w:p w14:paraId="4C32BE84" w14:textId="77777777" w:rsidR="008406B6" w:rsidRPr="000D2CAD" w:rsidRDefault="008406B6" w:rsidP="008406B6">
      <w:pPr>
        <w:tabs>
          <w:tab w:val="num" w:pos="720"/>
        </w:tabs>
        <w:spacing w:line="240" w:lineRule="auto"/>
        <w:rPr>
          <w:rFonts w:asciiTheme="majorHAnsi" w:hAnsiTheme="majorHAnsi" w:cstheme="majorHAnsi"/>
          <w:b/>
          <w:bCs/>
          <w:noProof/>
          <w:sz w:val="24"/>
          <w:szCs w:val="24"/>
        </w:rPr>
      </w:pPr>
      <w:r w:rsidRPr="000D2CAD">
        <w:rPr>
          <w:rFonts w:asciiTheme="majorHAnsi" w:hAnsiTheme="majorHAnsi" w:cstheme="majorHAnsi"/>
          <w:b/>
          <w:bCs/>
          <w:noProof/>
          <w:sz w:val="24"/>
          <w:szCs w:val="24"/>
        </w:rPr>
        <w:t>Possible Scenario</w:t>
      </w:r>
    </w:p>
    <w:p w14:paraId="145633D0" w14:textId="3EADECDC" w:rsidR="008406B6" w:rsidRDefault="008406B6" w:rsidP="008406B6">
      <w:pPr>
        <w:tabs>
          <w:tab w:val="num" w:pos="720"/>
        </w:tabs>
        <w:spacing w:line="240" w:lineRule="auto"/>
        <w:rPr>
          <w:rFonts w:asciiTheme="majorHAnsi" w:hAnsiTheme="majorHAnsi" w:cstheme="majorHAnsi"/>
          <w:noProof/>
          <w:sz w:val="24"/>
          <w:szCs w:val="24"/>
        </w:rPr>
      </w:pPr>
      <w:r>
        <w:rPr>
          <w:rFonts w:asciiTheme="majorHAnsi" w:hAnsiTheme="majorHAnsi" w:cstheme="majorHAnsi"/>
          <w:noProof/>
          <w:sz w:val="24"/>
          <w:szCs w:val="24"/>
        </w:rPr>
        <w:tab/>
      </w:r>
      <w:r>
        <w:rPr>
          <w:rFonts w:asciiTheme="majorHAnsi" w:hAnsiTheme="majorHAnsi" w:cstheme="majorHAnsi"/>
          <w:noProof/>
          <w:sz w:val="24"/>
          <w:szCs w:val="24"/>
        </w:rPr>
        <w:t xml:space="preserve">The </w:t>
      </w:r>
      <w:r w:rsidRPr="000D2CAD">
        <w:rPr>
          <w:rFonts w:asciiTheme="majorHAnsi" w:hAnsiTheme="majorHAnsi" w:cstheme="majorHAnsi"/>
          <w:sz w:val="24"/>
          <w:szCs w:val="24"/>
        </w:rPr>
        <w:t>document Task 7.2 Simplified Scenario Development guide</w:t>
      </w:r>
      <w:r>
        <w:rPr>
          <w:rFonts w:asciiTheme="majorHAnsi" w:hAnsiTheme="majorHAnsi" w:cstheme="majorHAnsi"/>
          <w:sz w:val="24"/>
          <w:szCs w:val="24"/>
        </w:rPr>
        <w:t xml:space="preserve">, </w:t>
      </w:r>
      <w:r w:rsidRPr="000D2CAD">
        <w:rPr>
          <w:rFonts w:asciiTheme="majorHAnsi" w:hAnsiTheme="majorHAnsi" w:cstheme="majorHAnsi"/>
          <w:sz w:val="24"/>
          <w:szCs w:val="24"/>
        </w:rPr>
        <w:t>available at </w:t>
      </w:r>
      <w:hyperlink r:id="rId9" w:tgtFrame="_blank" w:history="1">
        <w:r w:rsidRPr="000D2CAD">
          <w:rPr>
            <w:rStyle w:val="Hyperlink"/>
            <w:rFonts w:asciiTheme="majorHAnsi" w:hAnsiTheme="majorHAnsi" w:cstheme="majorHAnsi"/>
            <w:sz w:val="24"/>
            <w:szCs w:val="24"/>
          </w:rPr>
          <w:t>A Playbook for Simplified Approache</w:t>
        </w:r>
        <w:r w:rsidRPr="000D2CAD">
          <w:rPr>
            <w:rStyle w:val="Hyperlink"/>
            <w:rFonts w:asciiTheme="majorHAnsi" w:hAnsiTheme="majorHAnsi" w:cstheme="majorHAnsi"/>
            <w:sz w:val="24"/>
            <w:szCs w:val="24"/>
          </w:rPr>
          <w:t>s</w:t>
        </w:r>
        <w:r w:rsidRPr="000D2CAD">
          <w:rPr>
            <w:rStyle w:val="Hyperlink"/>
            <w:rFonts w:asciiTheme="majorHAnsi" w:hAnsiTheme="majorHAnsi" w:cstheme="majorHAnsi"/>
            <w:sz w:val="24"/>
            <w:szCs w:val="24"/>
          </w:rPr>
          <w:t xml:space="preserve"> for Creating Scenarios in VisionEval</w:t>
        </w:r>
      </w:hyperlink>
      <w:r>
        <w:t xml:space="preserve">, </w:t>
      </w:r>
      <w:r>
        <w:t>does not give an explicit reason for modifying this input file.  However, the VisionEval documentation (</w:t>
      </w:r>
      <w:hyperlink r:id="rId10" w:history="1">
        <w:r w:rsidRPr="004C7D23">
          <w:rPr>
            <w:rStyle w:val="Hyperlink"/>
          </w:rPr>
          <w:t>https://visioneval.github.io/docs/model-inputs.html#verspm-verspm-predicthousing</w:t>
        </w:r>
      </w:hyperlink>
      <w:r>
        <w:t>) explains that these income quartiles “</w:t>
      </w:r>
      <w:r w:rsidRPr="008406B6">
        <w:rPr>
          <w:rFonts w:asciiTheme="majorHAnsi" w:hAnsiTheme="majorHAnsi" w:cstheme="majorHAnsi"/>
          <w:noProof/>
          <w:sz w:val="24"/>
          <w:szCs w:val="24"/>
        </w:rPr>
        <w:t>help VisionEval assign households to a compatible Bzone location.</w:t>
      </w:r>
      <w:r>
        <w:rPr>
          <w:rFonts w:asciiTheme="majorHAnsi" w:hAnsiTheme="majorHAnsi" w:cstheme="majorHAnsi"/>
          <w:noProof/>
          <w:sz w:val="24"/>
          <w:szCs w:val="24"/>
        </w:rPr>
        <w:t xml:space="preserve">”  Accordingly, one possible scenario is to examine how demand by Bzone changes due to uncertainty—e.g., one could assess, for instance, how </w:t>
      </w:r>
      <w:r w:rsidR="00DA6B89">
        <w:rPr>
          <w:rFonts w:asciiTheme="majorHAnsi" w:hAnsiTheme="majorHAnsi" w:cstheme="majorHAnsi"/>
          <w:noProof/>
          <w:sz w:val="24"/>
          <w:szCs w:val="24"/>
        </w:rPr>
        <w:t>changes in these quartiles for a given Bzone influence total model outputs, such as demand for transportation modes.</w:t>
      </w:r>
    </w:p>
    <w:p w14:paraId="10C0D170" w14:textId="77777777" w:rsidR="00DA6B89" w:rsidRPr="00092477" w:rsidRDefault="00DA6B89" w:rsidP="00DA6B89">
      <w:pPr>
        <w:rPr>
          <w:b/>
          <w:bCs/>
        </w:rPr>
      </w:pPr>
      <w:r w:rsidRPr="000D2CAD">
        <w:rPr>
          <w:rFonts w:asciiTheme="majorHAnsi" w:hAnsiTheme="majorHAnsi" w:cstheme="majorHAnsi"/>
          <w:b/>
          <w:bCs/>
          <w:sz w:val="24"/>
          <w:szCs w:val="24"/>
        </w:rPr>
        <w:t>Method Used for Virginia</w:t>
      </w:r>
    </w:p>
    <w:p w14:paraId="697D28A0" w14:textId="7EC4244C" w:rsidR="008406B6" w:rsidRDefault="00DA6B89" w:rsidP="008406B6">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ab/>
        <w:t>Users may wish to replace the statewide values used for Virginia with specific values.  In theory, the quartiles should be tied to each Azone.  In practice, the research team tied the quartiles to a statewide household income.  The following approach was used:</w:t>
      </w:r>
    </w:p>
    <w:p w14:paraId="5E5A58E6" w14:textId="77777777" w:rsidR="00DA6B89" w:rsidRDefault="00DA6B89" w:rsidP="00DA6B89">
      <w:pPr>
        <w:pStyle w:val="ListParagraph"/>
        <w:numPr>
          <w:ilvl w:val="0"/>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Obtain Census data table </w:t>
      </w:r>
      <w:r w:rsidRPr="00DA6B89">
        <w:rPr>
          <w:rFonts w:asciiTheme="majorHAnsi" w:hAnsiTheme="majorHAnsi" w:cstheme="majorHAnsi"/>
          <w:sz w:val="24"/>
          <w:szCs w:val="24"/>
        </w:rPr>
        <w:t>B19001</w:t>
      </w:r>
      <w:r>
        <w:rPr>
          <w:rFonts w:asciiTheme="majorHAnsi" w:hAnsiTheme="majorHAnsi" w:cstheme="majorHAnsi"/>
          <w:sz w:val="24"/>
          <w:szCs w:val="24"/>
        </w:rPr>
        <w:t xml:space="preserve"> for the </w:t>
      </w:r>
      <w:proofErr w:type="gramStart"/>
      <w:r>
        <w:rPr>
          <w:rFonts w:asciiTheme="majorHAnsi" w:hAnsiTheme="majorHAnsi" w:cstheme="majorHAnsi"/>
          <w:sz w:val="24"/>
          <w:szCs w:val="24"/>
        </w:rPr>
        <w:t>five year</w:t>
      </w:r>
      <w:proofErr w:type="gramEnd"/>
      <w:r>
        <w:rPr>
          <w:rFonts w:asciiTheme="majorHAnsi" w:hAnsiTheme="majorHAnsi" w:cstheme="majorHAnsi"/>
          <w:sz w:val="24"/>
          <w:szCs w:val="24"/>
        </w:rPr>
        <w:t xml:space="preserve"> dataset of 2020, 2021, 2022, 2023, and 2024).</w:t>
      </w:r>
    </w:p>
    <w:p w14:paraId="69877FB9" w14:textId="02D0DAE1" w:rsidR="00DA6B89" w:rsidRDefault="00DA6B89" w:rsidP="00DA6B89">
      <w:pPr>
        <w:pStyle w:val="ListParagraph"/>
        <w:numPr>
          <w:ilvl w:val="0"/>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Find the number of households in the first, second, third, and fourth income household quartiles.  For example, in Virginia, these are roughly as follows:</w:t>
      </w:r>
    </w:p>
    <w:p w14:paraId="502AE07C" w14:textId="5BF157B5" w:rsidR="00DA6B89" w:rsidRDefault="00DA6B89" w:rsidP="00DA6B89">
      <w:pPr>
        <w:pStyle w:val="ListParagraph"/>
        <w:numPr>
          <w:ilvl w:val="1"/>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FROM $0 to TO half the households in the range of </w:t>
      </w:r>
      <w:r w:rsidRPr="00DA6B89">
        <w:rPr>
          <w:rFonts w:asciiTheme="majorHAnsi" w:hAnsiTheme="majorHAnsi" w:cstheme="majorHAnsi"/>
          <w:sz w:val="24"/>
          <w:szCs w:val="24"/>
        </w:rPr>
        <w:t>$45,000 to $49,999</w:t>
      </w:r>
      <w:r>
        <w:rPr>
          <w:rFonts w:asciiTheme="majorHAnsi" w:hAnsiTheme="majorHAnsi" w:cstheme="majorHAnsi"/>
          <w:sz w:val="24"/>
          <w:szCs w:val="24"/>
        </w:rPr>
        <w:t xml:space="preserve"> (first quartile)</w:t>
      </w:r>
    </w:p>
    <w:p w14:paraId="60E014B0" w14:textId="3702D6AE" w:rsidR="00DA6B89" w:rsidRDefault="00DA6B89" w:rsidP="00DA6B89">
      <w:pPr>
        <w:pStyle w:val="ListParagraph"/>
        <w:numPr>
          <w:ilvl w:val="1"/>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FROM </w:t>
      </w:r>
      <w:r>
        <w:rPr>
          <w:rFonts w:asciiTheme="majorHAnsi" w:hAnsiTheme="majorHAnsi" w:cstheme="majorHAnsi"/>
          <w:sz w:val="24"/>
          <w:szCs w:val="24"/>
        </w:rPr>
        <w:t xml:space="preserve">half the households in the range of </w:t>
      </w:r>
      <w:r w:rsidRPr="00DA6B89">
        <w:rPr>
          <w:rFonts w:asciiTheme="majorHAnsi" w:hAnsiTheme="majorHAnsi" w:cstheme="majorHAnsi"/>
          <w:sz w:val="24"/>
          <w:szCs w:val="24"/>
        </w:rPr>
        <w:t>$45,000 to $49,999</w:t>
      </w:r>
      <w:r>
        <w:rPr>
          <w:rFonts w:asciiTheme="majorHAnsi" w:hAnsiTheme="majorHAnsi" w:cstheme="majorHAnsi"/>
          <w:sz w:val="24"/>
          <w:szCs w:val="24"/>
        </w:rPr>
        <w:t xml:space="preserve"> TO three-quarters of the households in the </w:t>
      </w:r>
      <w:r>
        <w:rPr>
          <w:rFonts w:asciiTheme="majorHAnsi" w:hAnsiTheme="majorHAnsi" w:cstheme="majorHAnsi"/>
          <w:sz w:val="24"/>
          <w:szCs w:val="24"/>
        </w:rPr>
        <w:t xml:space="preserve">range of </w:t>
      </w:r>
      <w:r w:rsidRPr="00DA6B89">
        <w:rPr>
          <w:rFonts w:asciiTheme="majorHAnsi" w:hAnsiTheme="majorHAnsi" w:cstheme="majorHAnsi"/>
          <w:sz w:val="24"/>
          <w:szCs w:val="24"/>
        </w:rPr>
        <w:t>$75,000 to $99,999</w:t>
      </w:r>
      <w:r>
        <w:rPr>
          <w:rFonts w:asciiTheme="majorHAnsi" w:hAnsiTheme="majorHAnsi" w:cstheme="majorHAnsi"/>
          <w:sz w:val="24"/>
          <w:szCs w:val="24"/>
        </w:rPr>
        <w:t>.</w:t>
      </w:r>
    </w:p>
    <w:p w14:paraId="673086B7" w14:textId="17519BA9" w:rsidR="00DA6B89" w:rsidRDefault="00DA6B89" w:rsidP="00DA6B89">
      <w:pPr>
        <w:pStyle w:val="ListParagraph"/>
        <w:numPr>
          <w:ilvl w:val="1"/>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FROM </w:t>
      </w:r>
      <w:r w:rsidR="00272ECC">
        <w:rPr>
          <w:rFonts w:asciiTheme="majorHAnsi" w:hAnsiTheme="majorHAnsi" w:cstheme="majorHAnsi"/>
          <w:sz w:val="24"/>
          <w:szCs w:val="24"/>
        </w:rPr>
        <w:t>one</w:t>
      </w:r>
      <w:r w:rsidR="00272ECC">
        <w:rPr>
          <w:rFonts w:asciiTheme="majorHAnsi" w:hAnsiTheme="majorHAnsi" w:cstheme="majorHAnsi"/>
          <w:sz w:val="24"/>
          <w:szCs w:val="24"/>
        </w:rPr>
        <w:t xml:space="preserve">-quarter of the households in the range of </w:t>
      </w:r>
      <w:r w:rsidR="00272ECC" w:rsidRPr="00DA6B89">
        <w:rPr>
          <w:rFonts w:asciiTheme="majorHAnsi" w:hAnsiTheme="majorHAnsi" w:cstheme="majorHAnsi"/>
          <w:sz w:val="24"/>
          <w:szCs w:val="24"/>
        </w:rPr>
        <w:t xml:space="preserve">$75,000 </w:t>
      </w:r>
      <w:r w:rsidR="00272ECC">
        <w:rPr>
          <w:rFonts w:asciiTheme="majorHAnsi" w:hAnsiTheme="majorHAnsi" w:cstheme="majorHAnsi"/>
          <w:sz w:val="24"/>
          <w:szCs w:val="24"/>
        </w:rPr>
        <w:t>TO</w:t>
      </w:r>
      <w:r w:rsidR="00272ECC" w:rsidRPr="00DA6B89">
        <w:rPr>
          <w:rFonts w:asciiTheme="majorHAnsi" w:hAnsiTheme="majorHAnsi" w:cstheme="majorHAnsi"/>
          <w:sz w:val="24"/>
          <w:szCs w:val="24"/>
        </w:rPr>
        <w:t xml:space="preserve"> $99,999</w:t>
      </w:r>
      <w:r w:rsidR="00272ECC">
        <w:rPr>
          <w:rFonts w:asciiTheme="majorHAnsi" w:hAnsiTheme="majorHAnsi" w:cstheme="majorHAnsi"/>
          <w:sz w:val="24"/>
          <w:szCs w:val="24"/>
        </w:rPr>
        <w:t xml:space="preserve"> to two-thirds of the households in the range of </w:t>
      </w:r>
      <w:r w:rsidR="00272ECC" w:rsidRPr="00272ECC">
        <w:rPr>
          <w:rFonts w:asciiTheme="majorHAnsi" w:hAnsiTheme="majorHAnsi" w:cstheme="majorHAnsi"/>
          <w:sz w:val="24"/>
          <w:szCs w:val="24"/>
        </w:rPr>
        <w:t>$150,000 to $199,999</w:t>
      </w:r>
      <w:r w:rsidR="00272ECC">
        <w:rPr>
          <w:rFonts w:asciiTheme="majorHAnsi" w:hAnsiTheme="majorHAnsi" w:cstheme="majorHAnsi"/>
          <w:sz w:val="24"/>
          <w:szCs w:val="24"/>
        </w:rPr>
        <w:t>.</w:t>
      </w:r>
    </w:p>
    <w:p w14:paraId="46D37397" w14:textId="4A4C6493" w:rsidR="00272ECC" w:rsidRDefault="00272ECC" w:rsidP="00272ECC">
      <w:pPr>
        <w:pStyle w:val="ListParagraph"/>
        <w:numPr>
          <w:ilvl w:val="1"/>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FROM one</w:t>
      </w:r>
      <w:r>
        <w:rPr>
          <w:rFonts w:asciiTheme="majorHAnsi" w:hAnsiTheme="majorHAnsi" w:cstheme="majorHAnsi"/>
          <w:sz w:val="24"/>
          <w:szCs w:val="24"/>
        </w:rPr>
        <w:t xml:space="preserve">-third of the households in the range of </w:t>
      </w:r>
      <w:r w:rsidRPr="00272ECC">
        <w:rPr>
          <w:rFonts w:asciiTheme="majorHAnsi" w:hAnsiTheme="majorHAnsi" w:cstheme="majorHAnsi"/>
          <w:sz w:val="24"/>
          <w:szCs w:val="24"/>
        </w:rPr>
        <w:t>$150,000 to $199,999</w:t>
      </w:r>
      <w:r>
        <w:rPr>
          <w:rFonts w:asciiTheme="majorHAnsi" w:hAnsiTheme="majorHAnsi" w:cstheme="majorHAnsi"/>
          <w:sz w:val="24"/>
          <w:szCs w:val="24"/>
        </w:rPr>
        <w:t xml:space="preserve"> TO infinite.</w:t>
      </w:r>
    </w:p>
    <w:p w14:paraId="3FC2CB64" w14:textId="4002B155" w:rsidR="00272ECC" w:rsidRDefault="00272ECC" w:rsidP="00272ECC">
      <w:pPr>
        <w:pStyle w:val="ListParagraph"/>
        <w:numPr>
          <w:ilvl w:val="0"/>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Convert these numbers to proportions for each Bzone and round them to three decimal places. </w:t>
      </w:r>
    </w:p>
    <w:p w14:paraId="6911B36A" w14:textId="77777777" w:rsidR="00272ECC" w:rsidRDefault="00272ECC" w:rsidP="00272ECC">
      <w:pPr>
        <w:pStyle w:val="ListParagraph"/>
        <w:numPr>
          <w:ilvl w:val="0"/>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If the proportions sum to more or less than 1.000, then arbitrarily adjust the largest proportion by 0.001 such that the proportions sum to exactly 1.000.</w:t>
      </w:r>
    </w:p>
    <w:p w14:paraId="1283CD23" w14:textId="4D3F3A18" w:rsidR="00272ECC" w:rsidRPr="00DA6B89" w:rsidRDefault="00272ECC" w:rsidP="00272ECC">
      <w:pPr>
        <w:pStyle w:val="ListParagraph"/>
        <w:numPr>
          <w:ilvl w:val="0"/>
          <w:numId w:val="7"/>
        </w:num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For Bzones with no households, make the proportions each 0.250. </w:t>
      </w:r>
    </w:p>
    <w:p w14:paraId="1F96241B" w14:textId="6AC04BAA" w:rsidR="008406B6" w:rsidRDefault="00272ECC" w:rsidP="008406B6">
      <w:pPr>
        <w:tabs>
          <w:tab w:val="num" w:pos="720"/>
        </w:tabs>
        <w:spacing w:line="240" w:lineRule="auto"/>
        <w:rPr>
          <w:rFonts w:asciiTheme="majorHAnsi" w:hAnsiTheme="majorHAnsi" w:cstheme="majorHAnsi"/>
          <w:sz w:val="24"/>
          <w:szCs w:val="24"/>
        </w:rPr>
      </w:pPr>
      <w:r>
        <w:rPr>
          <w:rFonts w:asciiTheme="majorHAnsi" w:hAnsiTheme="majorHAnsi" w:cstheme="majorHAnsi"/>
          <w:sz w:val="24"/>
          <w:szCs w:val="24"/>
        </w:rPr>
        <w:t xml:space="preserve">The calculations are in the file </w:t>
      </w:r>
      <w:r w:rsidRPr="00272ECC">
        <w:rPr>
          <w:rFonts w:asciiTheme="majorHAnsi" w:hAnsiTheme="majorHAnsi" w:cstheme="majorHAnsi"/>
          <w:sz w:val="24"/>
          <w:szCs w:val="24"/>
        </w:rPr>
        <w:t>23_bzone_hh_inc_qrtl_prop</w:t>
      </w:r>
      <w:r>
        <w:rPr>
          <w:rFonts w:asciiTheme="majorHAnsi" w:hAnsiTheme="majorHAnsi" w:cstheme="majorHAnsi"/>
          <w:sz w:val="24"/>
          <w:szCs w:val="24"/>
        </w:rPr>
        <w:t xml:space="preserve">.xlsx with the data being in </w:t>
      </w:r>
      <w:proofErr w:type="gramStart"/>
      <w:r>
        <w:rPr>
          <w:rFonts w:asciiTheme="majorHAnsi" w:hAnsiTheme="majorHAnsi" w:cstheme="majorHAnsi"/>
          <w:sz w:val="24"/>
          <w:szCs w:val="24"/>
        </w:rPr>
        <w:t>the file</w:t>
      </w:r>
      <w:proofErr w:type="gramEnd"/>
      <w:r>
        <w:rPr>
          <w:rFonts w:asciiTheme="majorHAnsi" w:hAnsiTheme="majorHAnsi" w:cstheme="majorHAnsi"/>
          <w:sz w:val="24"/>
          <w:szCs w:val="24"/>
        </w:rPr>
        <w:t xml:space="preserve"> </w:t>
      </w:r>
      <w:r w:rsidRPr="00272ECC">
        <w:rPr>
          <w:rFonts w:asciiTheme="majorHAnsi" w:hAnsiTheme="majorHAnsi" w:cstheme="majorHAnsi"/>
          <w:sz w:val="24"/>
          <w:szCs w:val="24"/>
        </w:rPr>
        <w:t>23_bzone_hh_inc_qrtl_prop</w:t>
      </w:r>
      <w:r>
        <w:rPr>
          <w:rFonts w:asciiTheme="majorHAnsi" w:hAnsiTheme="majorHAnsi" w:cstheme="majorHAnsi"/>
          <w:sz w:val="24"/>
          <w:szCs w:val="24"/>
        </w:rPr>
        <w:t>.csv</w:t>
      </w:r>
    </w:p>
    <w:p w14:paraId="1B122475" w14:textId="64986E55" w:rsidR="00447D8C" w:rsidRPr="00272ECC" w:rsidRDefault="00272ECC" w:rsidP="00E769EA">
      <w:pPr>
        <w:tabs>
          <w:tab w:val="num" w:pos="720"/>
        </w:tabs>
        <w:spacing w:line="240" w:lineRule="auto"/>
        <w:rPr>
          <w:rFonts w:asciiTheme="majorHAnsi" w:hAnsiTheme="majorHAnsi" w:cstheme="majorHAnsi"/>
          <w:b/>
          <w:bCs/>
          <w:sz w:val="24"/>
          <w:szCs w:val="24"/>
        </w:rPr>
      </w:pPr>
      <w:r w:rsidRPr="00272ECC">
        <w:rPr>
          <w:rFonts w:asciiTheme="majorHAnsi" w:hAnsiTheme="majorHAnsi" w:cstheme="majorHAnsi"/>
          <w:b/>
          <w:bCs/>
          <w:sz w:val="24"/>
          <w:szCs w:val="24"/>
        </w:rPr>
        <w:t>Scrap Work</w:t>
      </w:r>
    </w:p>
    <w:p w14:paraId="1218AEE7" w14:textId="634DC1A5" w:rsidR="0002614F" w:rsidRDefault="00220A29" w:rsidP="00E769EA">
      <w:pPr>
        <w:tabs>
          <w:tab w:val="num" w:pos="720"/>
        </w:tabs>
        <w:spacing w:line="240" w:lineRule="auto"/>
        <w:rPr>
          <w:rFonts w:asciiTheme="majorHAnsi" w:hAnsiTheme="majorHAnsi" w:cstheme="majorHAnsi"/>
          <w:sz w:val="24"/>
          <w:szCs w:val="24"/>
        </w:rPr>
      </w:pPr>
      <w:hyperlink r:id="rId11" w:anchor="verspm-household-proportion-by-income-bzone_hh_inc_qrtl_prop.csv" w:history="1">
        <w:r w:rsidRPr="00220A29">
          <w:rPr>
            <w:rStyle w:val="Hyperlink"/>
            <w:rFonts w:asciiTheme="majorHAnsi" w:hAnsiTheme="majorHAnsi" w:cstheme="majorHAnsi"/>
            <w:sz w:val="24"/>
            <w:szCs w:val="24"/>
          </w:rPr>
          <w:t>Chapter 7 Model Inputs | VisionEval User Guide</w:t>
        </w:r>
      </w:hyperlink>
    </w:p>
    <w:p w14:paraId="44287CD5" w14:textId="27693373" w:rsidR="0002614F" w:rsidRDefault="00220A29" w:rsidP="00E769EA">
      <w:pPr>
        <w:tabs>
          <w:tab w:val="num" w:pos="720"/>
        </w:tabs>
        <w:spacing w:line="240" w:lineRule="auto"/>
        <w:rPr>
          <w:rFonts w:asciiTheme="majorHAnsi" w:hAnsiTheme="majorHAnsi" w:cstheme="majorHAnsi"/>
          <w:sz w:val="24"/>
          <w:szCs w:val="24"/>
        </w:rPr>
      </w:pPr>
      <w:hyperlink r:id="rId12" w:anchor="verspm-locateemployment" w:history="1">
        <w:r w:rsidRPr="00220A29">
          <w:rPr>
            <w:rStyle w:val="Hyperlink"/>
            <w:rFonts w:asciiTheme="majorHAnsi" w:hAnsiTheme="majorHAnsi" w:cstheme="majorHAnsi"/>
            <w:sz w:val="24"/>
            <w:szCs w:val="24"/>
          </w:rPr>
          <w:t>Chapter 7 Model Inputs | VisionEval User Guide</w:t>
        </w:r>
      </w:hyperlink>
    </w:p>
    <w:p w14:paraId="0CAF6EB7" w14:textId="77777777" w:rsidR="0002614F" w:rsidRDefault="0002614F" w:rsidP="00E769EA">
      <w:pPr>
        <w:tabs>
          <w:tab w:val="num" w:pos="720"/>
        </w:tabs>
        <w:spacing w:line="240" w:lineRule="auto"/>
        <w:rPr>
          <w:rFonts w:asciiTheme="majorHAnsi" w:hAnsiTheme="majorHAnsi" w:cstheme="majorHAnsi"/>
          <w:sz w:val="24"/>
          <w:szCs w:val="24"/>
        </w:rPr>
      </w:pPr>
    </w:p>
    <w:sectPr w:rsidR="0002614F" w:rsidSect="00517031">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078A" w14:textId="77777777" w:rsidR="002B3A90" w:rsidRDefault="002B3A90" w:rsidP="002B3A90">
      <w:pPr>
        <w:spacing w:after="0" w:line="240" w:lineRule="auto"/>
      </w:pPr>
      <w:r>
        <w:separator/>
      </w:r>
    </w:p>
  </w:endnote>
  <w:endnote w:type="continuationSeparator" w:id="0">
    <w:p w14:paraId="729DF362" w14:textId="77777777" w:rsidR="002B3A90" w:rsidRDefault="002B3A90" w:rsidP="002B3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712755"/>
      <w:docPartObj>
        <w:docPartGallery w:val="Page Numbers (Bottom of Page)"/>
        <w:docPartUnique/>
      </w:docPartObj>
    </w:sdtPr>
    <w:sdtEndPr>
      <w:rPr>
        <w:noProof/>
      </w:rPr>
    </w:sdtEndPr>
    <w:sdtContent>
      <w:p w14:paraId="599A2036" w14:textId="030F36A3" w:rsidR="002B3A90" w:rsidRDefault="002B3A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6DAC2" w14:textId="77777777" w:rsidR="002B3A90" w:rsidRDefault="002B3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EDAC7" w14:textId="77777777" w:rsidR="002B3A90" w:rsidRDefault="002B3A90" w:rsidP="002B3A90">
      <w:pPr>
        <w:spacing w:after="0" w:line="240" w:lineRule="auto"/>
      </w:pPr>
      <w:r>
        <w:separator/>
      </w:r>
    </w:p>
  </w:footnote>
  <w:footnote w:type="continuationSeparator" w:id="0">
    <w:p w14:paraId="28569425" w14:textId="77777777" w:rsidR="002B3A90" w:rsidRDefault="002B3A90" w:rsidP="002B3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D45"/>
    <w:multiLevelType w:val="multilevel"/>
    <w:tmpl w:val="3EE438A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 w15:restartNumberingAfterBreak="0">
    <w:nsid w:val="35F53171"/>
    <w:multiLevelType w:val="multilevel"/>
    <w:tmpl w:val="D6F27F4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2" w15:restartNumberingAfterBreak="0">
    <w:nsid w:val="3E1A2649"/>
    <w:multiLevelType w:val="hybridMultilevel"/>
    <w:tmpl w:val="1DC0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F2592"/>
    <w:multiLevelType w:val="multilevel"/>
    <w:tmpl w:val="28E2CF5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 w15:restartNumberingAfterBreak="0">
    <w:nsid w:val="60E04C29"/>
    <w:multiLevelType w:val="multilevel"/>
    <w:tmpl w:val="20FE228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 w15:restartNumberingAfterBreak="0">
    <w:nsid w:val="6BCE1523"/>
    <w:multiLevelType w:val="hybridMultilevel"/>
    <w:tmpl w:val="17DA78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AF7984"/>
    <w:multiLevelType w:val="multilevel"/>
    <w:tmpl w:val="10B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0875557">
    <w:abstractNumId w:val="6"/>
  </w:num>
  <w:num w:numId="2" w16cid:durableId="341670638">
    <w:abstractNumId w:val="3"/>
  </w:num>
  <w:num w:numId="3" w16cid:durableId="1869681569">
    <w:abstractNumId w:val="0"/>
  </w:num>
  <w:num w:numId="4" w16cid:durableId="1025014232">
    <w:abstractNumId w:val="4"/>
  </w:num>
  <w:num w:numId="5" w16cid:durableId="1361516843">
    <w:abstractNumId w:val="1"/>
  </w:num>
  <w:num w:numId="6" w16cid:durableId="1798182237">
    <w:abstractNumId w:val="2"/>
  </w:num>
  <w:num w:numId="7" w16cid:durableId="1465658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BD"/>
    <w:rsid w:val="0002614F"/>
    <w:rsid w:val="000347E5"/>
    <w:rsid w:val="000401AD"/>
    <w:rsid w:val="00092477"/>
    <w:rsid w:val="000D4F5F"/>
    <w:rsid w:val="001076D1"/>
    <w:rsid w:val="00135790"/>
    <w:rsid w:val="001825A1"/>
    <w:rsid w:val="00195B76"/>
    <w:rsid w:val="001E16C0"/>
    <w:rsid w:val="00220A29"/>
    <w:rsid w:val="00272ECC"/>
    <w:rsid w:val="002B3A90"/>
    <w:rsid w:val="00332F7C"/>
    <w:rsid w:val="00340843"/>
    <w:rsid w:val="00352461"/>
    <w:rsid w:val="003912ED"/>
    <w:rsid w:val="00447D8C"/>
    <w:rsid w:val="00517031"/>
    <w:rsid w:val="00616859"/>
    <w:rsid w:val="00645FBA"/>
    <w:rsid w:val="00695EEC"/>
    <w:rsid w:val="007428D9"/>
    <w:rsid w:val="00762DC4"/>
    <w:rsid w:val="00787ABD"/>
    <w:rsid w:val="007B0B50"/>
    <w:rsid w:val="0081689B"/>
    <w:rsid w:val="008406B6"/>
    <w:rsid w:val="008651D7"/>
    <w:rsid w:val="008836D2"/>
    <w:rsid w:val="008B3429"/>
    <w:rsid w:val="008D3A03"/>
    <w:rsid w:val="00900B39"/>
    <w:rsid w:val="00A938AF"/>
    <w:rsid w:val="00B25E3B"/>
    <w:rsid w:val="00B85C73"/>
    <w:rsid w:val="00C64F38"/>
    <w:rsid w:val="00CC0700"/>
    <w:rsid w:val="00D20BFE"/>
    <w:rsid w:val="00D91FB3"/>
    <w:rsid w:val="00DA6B89"/>
    <w:rsid w:val="00DC614F"/>
    <w:rsid w:val="00E769EA"/>
    <w:rsid w:val="00F34ADE"/>
    <w:rsid w:val="00F34BED"/>
    <w:rsid w:val="00F63C9C"/>
    <w:rsid w:val="00F8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E194"/>
  <w15:chartTrackingRefBased/>
  <w15:docId w15:val="{B57ED879-89CB-417F-B7C9-751CD8F7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EEC"/>
    <w:pPr>
      <w:spacing w:line="259" w:lineRule="auto"/>
    </w:pPr>
    <w:rPr>
      <w:kern w:val="0"/>
      <w:sz w:val="22"/>
      <w:szCs w:val="22"/>
      <w14:ligatures w14:val="none"/>
    </w:rPr>
  </w:style>
  <w:style w:type="paragraph" w:styleId="Heading1">
    <w:name w:val="heading 1"/>
    <w:basedOn w:val="Normal"/>
    <w:next w:val="Normal"/>
    <w:link w:val="Heading1Char"/>
    <w:uiPriority w:val="9"/>
    <w:qFormat/>
    <w:rsid w:val="0078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BD"/>
    <w:rPr>
      <w:rFonts w:eastAsiaTheme="majorEastAsia" w:cstheme="majorBidi"/>
      <w:color w:val="272727" w:themeColor="text1" w:themeTint="D8"/>
    </w:rPr>
  </w:style>
  <w:style w:type="paragraph" w:styleId="Title">
    <w:name w:val="Title"/>
    <w:basedOn w:val="Normal"/>
    <w:next w:val="Normal"/>
    <w:link w:val="TitleChar"/>
    <w:uiPriority w:val="10"/>
    <w:qFormat/>
    <w:rsid w:val="0078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BD"/>
    <w:pPr>
      <w:spacing w:before="160"/>
      <w:jc w:val="center"/>
    </w:pPr>
    <w:rPr>
      <w:i/>
      <w:iCs/>
      <w:color w:val="404040" w:themeColor="text1" w:themeTint="BF"/>
    </w:rPr>
  </w:style>
  <w:style w:type="character" w:customStyle="1" w:styleId="QuoteChar">
    <w:name w:val="Quote Char"/>
    <w:basedOn w:val="DefaultParagraphFont"/>
    <w:link w:val="Quote"/>
    <w:uiPriority w:val="29"/>
    <w:rsid w:val="00787ABD"/>
    <w:rPr>
      <w:i/>
      <w:iCs/>
      <w:color w:val="404040" w:themeColor="text1" w:themeTint="BF"/>
    </w:rPr>
  </w:style>
  <w:style w:type="paragraph" w:styleId="ListParagraph">
    <w:name w:val="List Paragraph"/>
    <w:basedOn w:val="Normal"/>
    <w:uiPriority w:val="34"/>
    <w:qFormat/>
    <w:rsid w:val="00787ABD"/>
    <w:pPr>
      <w:ind w:left="720"/>
      <w:contextualSpacing/>
    </w:pPr>
  </w:style>
  <w:style w:type="character" w:styleId="IntenseEmphasis">
    <w:name w:val="Intense Emphasis"/>
    <w:basedOn w:val="DefaultParagraphFont"/>
    <w:uiPriority w:val="21"/>
    <w:qFormat/>
    <w:rsid w:val="00787ABD"/>
    <w:rPr>
      <w:i/>
      <w:iCs/>
      <w:color w:val="0F4761" w:themeColor="accent1" w:themeShade="BF"/>
    </w:rPr>
  </w:style>
  <w:style w:type="paragraph" w:styleId="IntenseQuote">
    <w:name w:val="Intense Quote"/>
    <w:basedOn w:val="Normal"/>
    <w:next w:val="Normal"/>
    <w:link w:val="IntenseQuoteChar"/>
    <w:uiPriority w:val="30"/>
    <w:qFormat/>
    <w:rsid w:val="0078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ABD"/>
    <w:rPr>
      <w:i/>
      <w:iCs/>
      <w:color w:val="0F4761" w:themeColor="accent1" w:themeShade="BF"/>
    </w:rPr>
  </w:style>
  <w:style w:type="character" w:styleId="IntenseReference">
    <w:name w:val="Intense Reference"/>
    <w:basedOn w:val="DefaultParagraphFont"/>
    <w:uiPriority w:val="32"/>
    <w:qFormat/>
    <w:rsid w:val="00787ABD"/>
    <w:rPr>
      <w:b/>
      <w:bCs/>
      <w:smallCaps/>
      <w:color w:val="0F4761" w:themeColor="accent1" w:themeShade="BF"/>
      <w:spacing w:val="5"/>
    </w:rPr>
  </w:style>
  <w:style w:type="character" w:styleId="Hyperlink">
    <w:name w:val="Hyperlink"/>
    <w:basedOn w:val="DefaultParagraphFont"/>
    <w:uiPriority w:val="99"/>
    <w:unhideWhenUsed/>
    <w:rsid w:val="00092477"/>
    <w:rPr>
      <w:color w:val="467886" w:themeColor="hyperlink"/>
      <w:u w:val="single"/>
    </w:rPr>
  </w:style>
  <w:style w:type="character" w:styleId="FollowedHyperlink">
    <w:name w:val="FollowedHyperlink"/>
    <w:basedOn w:val="DefaultParagraphFont"/>
    <w:uiPriority w:val="99"/>
    <w:semiHidden/>
    <w:unhideWhenUsed/>
    <w:rsid w:val="00092477"/>
    <w:rPr>
      <w:color w:val="96607D" w:themeColor="followedHyperlink"/>
      <w:u w:val="single"/>
    </w:rPr>
  </w:style>
  <w:style w:type="character" w:styleId="UnresolvedMention">
    <w:name w:val="Unresolved Mention"/>
    <w:basedOn w:val="DefaultParagraphFont"/>
    <w:uiPriority w:val="99"/>
    <w:semiHidden/>
    <w:unhideWhenUsed/>
    <w:rsid w:val="00DC614F"/>
    <w:rPr>
      <w:color w:val="605E5C"/>
      <w:shd w:val="clear" w:color="auto" w:fill="E1DFDD"/>
    </w:rPr>
  </w:style>
  <w:style w:type="paragraph" w:styleId="Header">
    <w:name w:val="header"/>
    <w:basedOn w:val="Normal"/>
    <w:link w:val="HeaderChar"/>
    <w:uiPriority w:val="99"/>
    <w:unhideWhenUsed/>
    <w:rsid w:val="002B3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90"/>
    <w:rPr>
      <w:kern w:val="0"/>
      <w:sz w:val="22"/>
      <w:szCs w:val="22"/>
      <w14:ligatures w14:val="none"/>
    </w:rPr>
  </w:style>
  <w:style w:type="paragraph" w:styleId="Footer">
    <w:name w:val="footer"/>
    <w:basedOn w:val="Normal"/>
    <w:link w:val="FooterChar"/>
    <w:uiPriority w:val="99"/>
    <w:unhideWhenUsed/>
    <w:rsid w:val="002B3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9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2184">
      <w:bodyDiv w:val="1"/>
      <w:marLeft w:val="0"/>
      <w:marRight w:val="0"/>
      <w:marTop w:val="0"/>
      <w:marBottom w:val="0"/>
      <w:divBdr>
        <w:top w:val="none" w:sz="0" w:space="0" w:color="auto"/>
        <w:left w:val="none" w:sz="0" w:space="0" w:color="auto"/>
        <w:bottom w:val="none" w:sz="0" w:space="0" w:color="auto"/>
        <w:right w:val="none" w:sz="0" w:space="0" w:color="auto"/>
      </w:divBdr>
    </w:div>
    <w:div w:id="381909077">
      <w:bodyDiv w:val="1"/>
      <w:marLeft w:val="0"/>
      <w:marRight w:val="0"/>
      <w:marTop w:val="0"/>
      <w:marBottom w:val="0"/>
      <w:divBdr>
        <w:top w:val="none" w:sz="0" w:space="0" w:color="auto"/>
        <w:left w:val="none" w:sz="0" w:space="0" w:color="auto"/>
        <w:bottom w:val="none" w:sz="0" w:space="0" w:color="auto"/>
        <w:right w:val="none" w:sz="0" w:space="0" w:color="auto"/>
      </w:divBdr>
      <w:divsChild>
        <w:div w:id="2106922397">
          <w:marLeft w:val="0"/>
          <w:marRight w:val="0"/>
          <w:marTop w:val="0"/>
          <w:marBottom w:val="0"/>
          <w:divBdr>
            <w:top w:val="none" w:sz="0" w:space="0" w:color="auto"/>
            <w:left w:val="none" w:sz="0" w:space="0" w:color="auto"/>
            <w:bottom w:val="none" w:sz="0" w:space="0" w:color="auto"/>
            <w:right w:val="none" w:sz="0" w:space="0" w:color="auto"/>
          </w:divBdr>
        </w:div>
        <w:div w:id="1643925366">
          <w:marLeft w:val="0"/>
          <w:marRight w:val="0"/>
          <w:marTop w:val="0"/>
          <w:marBottom w:val="0"/>
          <w:divBdr>
            <w:top w:val="none" w:sz="0" w:space="0" w:color="auto"/>
            <w:left w:val="none" w:sz="0" w:space="0" w:color="auto"/>
            <w:bottom w:val="none" w:sz="0" w:space="0" w:color="auto"/>
            <w:right w:val="none" w:sz="0" w:space="0" w:color="auto"/>
          </w:divBdr>
        </w:div>
        <w:div w:id="1145778128">
          <w:marLeft w:val="0"/>
          <w:marRight w:val="0"/>
          <w:marTop w:val="0"/>
          <w:marBottom w:val="0"/>
          <w:divBdr>
            <w:top w:val="none" w:sz="0" w:space="0" w:color="auto"/>
            <w:left w:val="none" w:sz="0" w:space="0" w:color="auto"/>
            <w:bottom w:val="none" w:sz="0" w:space="0" w:color="auto"/>
            <w:right w:val="none" w:sz="0" w:space="0" w:color="auto"/>
          </w:divBdr>
        </w:div>
        <w:div w:id="466894110">
          <w:marLeft w:val="0"/>
          <w:marRight w:val="0"/>
          <w:marTop w:val="0"/>
          <w:marBottom w:val="0"/>
          <w:divBdr>
            <w:top w:val="none" w:sz="0" w:space="0" w:color="auto"/>
            <w:left w:val="none" w:sz="0" w:space="0" w:color="auto"/>
            <w:bottom w:val="none" w:sz="0" w:space="0" w:color="auto"/>
            <w:right w:val="none" w:sz="0" w:space="0" w:color="auto"/>
          </w:divBdr>
        </w:div>
        <w:div w:id="776867868">
          <w:marLeft w:val="0"/>
          <w:marRight w:val="0"/>
          <w:marTop w:val="0"/>
          <w:marBottom w:val="0"/>
          <w:divBdr>
            <w:top w:val="none" w:sz="0" w:space="0" w:color="auto"/>
            <w:left w:val="none" w:sz="0" w:space="0" w:color="auto"/>
            <w:bottom w:val="none" w:sz="0" w:space="0" w:color="auto"/>
            <w:right w:val="none" w:sz="0" w:space="0" w:color="auto"/>
          </w:divBdr>
        </w:div>
      </w:divsChild>
    </w:div>
    <w:div w:id="1121993166">
      <w:bodyDiv w:val="1"/>
      <w:marLeft w:val="0"/>
      <w:marRight w:val="0"/>
      <w:marTop w:val="0"/>
      <w:marBottom w:val="0"/>
      <w:divBdr>
        <w:top w:val="none" w:sz="0" w:space="0" w:color="auto"/>
        <w:left w:val="none" w:sz="0" w:space="0" w:color="auto"/>
        <w:bottom w:val="none" w:sz="0" w:space="0" w:color="auto"/>
        <w:right w:val="none" w:sz="0" w:space="0" w:color="auto"/>
      </w:divBdr>
      <w:divsChild>
        <w:div w:id="350649810">
          <w:marLeft w:val="0"/>
          <w:marRight w:val="0"/>
          <w:marTop w:val="0"/>
          <w:marBottom w:val="0"/>
          <w:divBdr>
            <w:top w:val="none" w:sz="0" w:space="0" w:color="auto"/>
            <w:left w:val="none" w:sz="0" w:space="0" w:color="auto"/>
            <w:bottom w:val="none" w:sz="0" w:space="0" w:color="auto"/>
            <w:right w:val="none" w:sz="0" w:space="0" w:color="auto"/>
          </w:divBdr>
        </w:div>
        <w:div w:id="497312703">
          <w:marLeft w:val="0"/>
          <w:marRight w:val="0"/>
          <w:marTop w:val="0"/>
          <w:marBottom w:val="0"/>
          <w:divBdr>
            <w:top w:val="none" w:sz="0" w:space="0" w:color="auto"/>
            <w:left w:val="none" w:sz="0" w:space="0" w:color="auto"/>
            <w:bottom w:val="none" w:sz="0" w:space="0" w:color="auto"/>
            <w:right w:val="none" w:sz="0" w:space="0" w:color="auto"/>
          </w:divBdr>
        </w:div>
        <w:div w:id="231237238">
          <w:marLeft w:val="0"/>
          <w:marRight w:val="0"/>
          <w:marTop w:val="0"/>
          <w:marBottom w:val="0"/>
          <w:divBdr>
            <w:top w:val="none" w:sz="0" w:space="0" w:color="auto"/>
            <w:left w:val="none" w:sz="0" w:space="0" w:color="auto"/>
            <w:bottom w:val="none" w:sz="0" w:space="0" w:color="auto"/>
            <w:right w:val="none" w:sz="0" w:space="0" w:color="auto"/>
          </w:divBdr>
        </w:div>
        <w:div w:id="501704645">
          <w:marLeft w:val="0"/>
          <w:marRight w:val="0"/>
          <w:marTop w:val="0"/>
          <w:marBottom w:val="0"/>
          <w:divBdr>
            <w:top w:val="none" w:sz="0" w:space="0" w:color="auto"/>
            <w:left w:val="none" w:sz="0" w:space="0" w:color="auto"/>
            <w:bottom w:val="none" w:sz="0" w:space="0" w:color="auto"/>
            <w:right w:val="none" w:sz="0" w:space="0" w:color="auto"/>
          </w:divBdr>
        </w:div>
        <w:div w:id="1476608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hyperlink" Target="https://visioneval.github.io/docs/model-inpu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sioneval.github.io/docs/model-input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isioneval.github.io/docs/model-inputs.html#verspm-verspm-predicthousing" TargetMode="External"/><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2</Pages>
  <Words>616</Words>
  <Characters>3456</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
    </vt:vector>
  </TitlesOfParts>
  <Company>VITA</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19</cp:revision>
  <dcterms:created xsi:type="dcterms:W3CDTF">2025-11-03T18:56:00Z</dcterms:created>
  <dcterms:modified xsi:type="dcterms:W3CDTF">2026-04-06T16:03:00Z</dcterms:modified>
</cp:coreProperties>
</file>