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BF62" w14:textId="4CC4DAF3" w:rsidR="00903724" w:rsidRPr="002047E1" w:rsidRDefault="00903724" w:rsidP="00847FE4">
      <w:pPr>
        <w:spacing w:line="240" w:lineRule="auto"/>
        <w:jc w:val="center"/>
        <w:rPr>
          <w:rFonts w:ascii="Calibri" w:hAnsi="Calibri" w:cs="Calibri"/>
          <w:b/>
          <w:bCs/>
          <w:sz w:val="24"/>
          <w:szCs w:val="24"/>
        </w:rPr>
      </w:pPr>
      <w:r w:rsidRPr="002047E1">
        <w:rPr>
          <w:rFonts w:ascii="Calibri" w:hAnsi="Calibri" w:cs="Calibri"/>
          <w:b/>
          <w:bCs/>
          <w:sz w:val="24"/>
          <w:szCs w:val="24"/>
        </w:rPr>
        <w:t>26_bzone_parking.csv</w:t>
      </w:r>
    </w:p>
    <w:p w14:paraId="0DD80B57" w14:textId="77777777" w:rsidR="00903724" w:rsidRPr="002047E1" w:rsidRDefault="00903724" w:rsidP="00847FE4">
      <w:pPr>
        <w:spacing w:line="240" w:lineRule="auto"/>
        <w:jc w:val="center"/>
        <w:rPr>
          <w:rFonts w:ascii="Calibri" w:hAnsi="Calibri" w:cs="Calibri"/>
          <w:b/>
          <w:bCs/>
          <w:sz w:val="24"/>
          <w:szCs w:val="24"/>
        </w:rPr>
      </w:pPr>
    </w:p>
    <w:p w14:paraId="0641ED45" w14:textId="1ABDED55" w:rsidR="00903724" w:rsidRPr="002047E1" w:rsidRDefault="00903724" w:rsidP="00847FE4">
      <w:pPr>
        <w:spacing w:line="240" w:lineRule="auto"/>
        <w:jc w:val="center"/>
        <w:rPr>
          <w:rFonts w:ascii="Calibri" w:hAnsi="Calibri" w:cs="Calibri"/>
          <w:b/>
          <w:bCs/>
          <w:sz w:val="24"/>
          <w:szCs w:val="24"/>
        </w:rPr>
      </w:pPr>
      <w:r w:rsidRPr="002047E1">
        <w:rPr>
          <w:rFonts w:ascii="Calibri" w:hAnsi="Calibri" w:cs="Calibri"/>
          <w:b/>
          <w:bCs/>
          <w:sz w:val="24"/>
          <w:szCs w:val="24"/>
        </w:rPr>
        <w:t xml:space="preserve">April </w:t>
      </w:r>
      <w:r w:rsidR="005A24FB">
        <w:rPr>
          <w:rFonts w:ascii="Calibri" w:hAnsi="Calibri" w:cs="Calibri"/>
          <w:b/>
          <w:bCs/>
          <w:sz w:val="24"/>
          <w:szCs w:val="24"/>
        </w:rPr>
        <w:t>21</w:t>
      </w:r>
      <w:r w:rsidRPr="002047E1">
        <w:rPr>
          <w:rFonts w:ascii="Calibri" w:hAnsi="Calibri" w:cs="Calibri"/>
          <w:b/>
          <w:bCs/>
          <w:sz w:val="24"/>
          <w:szCs w:val="24"/>
        </w:rPr>
        <w:t>, 2026</w:t>
      </w:r>
    </w:p>
    <w:p w14:paraId="050C11BF" w14:textId="77777777" w:rsidR="00A31245" w:rsidRPr="002047E1" w:rsidRDefault="00A31245" w:rsidP="00847FE4">
      <w:pPr>
        <w:spacing w:line="240" w:lineRule="auto"/>
        <w:jc w:val="center"/>
        <w:rPr>
          <w:rFonts w:ascii="Calibri" w:hAnsi="Calibri" w:cs="Calibri"/>
          <w:b/>
          <w:bCs/>
          <w:sz w:val="24"/>
          <w:szCs w:val="24"/>
        </w:rPr>
      </w:pPr>
    </w:p>
    <w:p w14:paraId="2A381B4D" w14:textId="77777777" w:rsidR="00903724" w:rsidRPr="002047E1" w:rsidRDefault="00903724" w:rsidP="00847FE4">
      <w:pPr>
        <w:tabs>
          <w:tab w:val="num" w:pos="720"/>
        </w:tabs>
        <w:spacing w:line="240" w:lineRule="auto"/>
        <w:rPr>
          <w:rFonts w:ascii="Calibri" w:hAnsi="Calibri" w:cs="Calibri"/>
          <w:b/>
          <w:bCs/>
          <w:sz w:val="24"/>
          <w:szCs w:val="24"/>
        </w:rPr>
      </w:pPr>
      <w:r w:rsidRPr="002047E1">
        <w:rPr>
          <w:rFonts w:ascii="Calibri" w:hAnsi="Calibri" w:cs="Calibri"/>
          <w:b/>
          <w:bCs/>
          <w:sz w:val="24"/>
          <w:szCs w:val="24"/>
        </w:rPr>
        <w:t>Definition of the Input File</w:t>
      </w:r>
    </w:p>
    <w:p w14:paraId="0BA043B7" w14:textId="77777777" w:rsidR="00A31245" w:rsidRPr="002047E1" w:rsidRDefault="00A31245" w:rsidP="00847FE4">
      <w:pPr>
        <w:tabs>
          <w:tab w:val="num" w:pos="720"/>
        </w:tabs>
        <w:spacing w:line="240" w:lineRule="auto"/>
        <w:rPr>
          <w:rFonts w:ascii="Calibri" w:hAnsi="Calibri" w:cs="Calibri"/>
          <w:b/>
          <w:bCs/>
          <w:sz w:val="24"/>
          <w:szCs w:val="24"/>
        </w:rPr>
      </w:pPr>
    </w:p>
    <w:p w14:paraId="00A93BD3" w14:textId="39B6EB14" w:rsidR="002047E1" w:rsidRPr="002047E1" w:rsidRDefault="00903724" w:rsidP="00847FE4">
      <w:pPr>
        <w:tabs>
          <w:tab w:val="num" w:pos="720"/>
        </w:tabs>
        <w:spacing w:line="240" w:lineRule="auto"/>
        <w:rPr>
          <w:rFonts w:ascii="Calibri" w:hAnsi="Calibri" w:cs="Calibri"/>
          <w:sz w:val="24"/>
          <w:szCs w:val="24"/>
        </w:rPr>
      </w:pPr>
      <w:r w:rsidRPr="002047E1">
        <w:rPr>
          <w:rFonts w:ascii="Calibri" w:hAnsi="Calibri" w:cs="Calibri"/>
          <w:sz w:val="24"/>
          <w:szCs w:val="24"/>
        </w:rPr>
        <w:tab/>
      </w:r>
      <w:r w:rsidR="005A24FB">
        <w:rPr>
          <w:rFonts w:ascii="Calibri" w:hAnsi="Calibri" w:cs="Calibri"/>
          <w:sz w:val="24"/>
          <w:szCs w:val="24"/>
        </w:rPr>
        <w:t xml:space="preserve">This file contains seven attributes.  Six are explained in the </w:t>
      </w:r>
      <w:r w:rsidRPr="002047E1">
        <w:rPr>
          <w:rFonts w:ascii="Calibri" w:hAnsi="Calibri" w:cs="Calibri"/>
          <w:sz w:val="24"/>
          <w:szCs w:val="24"/>
        </w:rPr>
        <w:t xml:space="preserve">VisionEval </w:t>
      </w:r>
      <w:r w:rsidR="005A24FB">
        <w:rPr>
          <w:rFonts w:ascii="Calibri" w:hAnsi="Calibri" w:cs="Calibri"/>
          <w:sz w:val="24"/>
          <w:szCs w:val="24"/>
        </w:rPr>
        <w:t xml:space="preserve">Documentation.  </w:t>
      </w:r>
      <w:r w:rsidRPr="002047E1">
        <w:rPr>
          <w:rFonts w:ascii="Calibri" w:hAnsi="Calibri" w:cs="Calibri"/>
          <w:sz w:val="24"/>
          <w:szCs w:val="24"/>
        </w:rPr>
        <w:t>(</w:t>
      </w:r>
      <w:hyperlink r:id="rId7" w:history="1">
        <w:r w:rsidRPr="002047E1">
          <w:rPr>
            <w:rStyle w:val="Hyperlink"/>
            <w:rFonts w:ascii="Calibri" w:hAnsi="Calibri" w:cs="Calibri"/>
            <w:sz w:val="24"/>
            <w:szCs w:val="24"/>
          </w:rPr>
          <w:t>https://vision</w:t>
        </w:r>
        <w:r w:rsidRPr="002047E1">
          <w:rPr>
            <w:rStyle w:val="Hyperlink"/>
            <w:rFonts w:ascii="Calibri" w:hAnsi="Calibri" w:cs="Calibri"/>
            <w:sz w:val="24"/>
            <w:szCs w:val="24"/>
          </w:rPr>
          <w:t>e</w:t>
        </w:r>
        <w:r w:rsidRPr="002047E1">
          <w:rPr>
            <w:rStyle w:val="Hyperlink"/>
            <w:rFonts w:ascii="Calibri" w:hAnsi="Calibri" w:cs="Calibri"/>
            <w:sz w:val="24"/>
            <w:szCs w:val="24"/>
          </w:rPr>
          <w:t>val.github.io/docs/model-inputs.html</w:t>
        </w:r>
      </w:hyperlink>
      <w:r w:rsidRPr="002047E1">
        <w:rPr>
          <w:rFonts w:ascii="Calibri" w:hAnsi="Calibri" w:cs="Calibri"/>
          <w:sz w:val="24"/>
          <w:szCs w:val="24"/>
        </w:rPr>
        <w:t>)</w:t>
      </w:r>
      <w:r w:rsidR="005A24FB">
        <w:rPr>
          <w:rFonts w:ascii="Calibri" w:hAnsi="Calibri" w:cs="Calibri"/>
          <w:sz w:val="24"/>
          <w:szCs w:val="24"/>
        </w:rPr>
        <w:t>.</w:t>
      </w:r>
      <w:r w:rsidRPr="002047E1">
        <w:rPr>
          <w:rFonts w:ascii="Calibri" w:hAnsi="Calibri" w:cs="Calibri"/>
          <w:sz w:val="24"/>
          <w:szCs w:val="24"/>
        </w:rPr>
        <w:t xml:space="preserve">  The first three refer to free parking spaces for residents of </w:t>
      </w:r>
      <w:proofErr w:type="gramStart"/>
      <w:r w:rsidRPr="002047E1">
        <w:rPr>
          <w:rFonts w:ascii="Calibri" w:hAnsi="Calibri" w:cs="Calibri"/>
          <w:sz w:val="24"/>
          <w:szCs w:val="24"/>
        </w:rPr>
        <w:t>single family</w:t>
      </w:r>
      <w:proofErr w:type="gramEnd"/>
      <w:r w:rsidRPr="002047E1">
        <w:rPr>
          <w:rFonts w:ascii="Calibri" w:hAnsi="Calibri" w:cs="Calibri"/>
          <w:sz w:val="24"/>
          <w:szCs w:val="24"/>
        </w:rPr>
        <w:t xml:space="preserve"> dwellings, multifamily dwellings, and group quarters residents.  </w:t>
      </w:r>
    </w:p>
    <w:p w14:paraId="089502DD" w14:textId="77777777" w:rsidR="002047E1" w:rsidRPr="002047E1" w:rsidRDefault="002047E1" w:rsidP="00847FE4">
      <w:pPr>
        <w:tabs>
          <w:tab w:val="num" w:pos="720"/>
        </w:tabs>
        <w:spacing w:line="240" w:lineRule="auto"/>
        <w:rPr>
          <w:rFonts w:ascii="Calibri" w:hAnsi="Calibri" w:cs="Calibri"/>
          <w:sz w:val="24"/>
          <w:szCs w:val="24"/>
        </w:rPr>
      </w:pPr>
    </w:p>
    <w:p w14:paraId="514C3478" w14:textId="545781E6" w:rsidR="00A31245" w:rsidRPr="002047E1" w:rsidRDefault="009E64F3" w:rsidP="00847FE4">
      <w:pPr>
        <w:tabs>
          <w:tab w:val="num" w:pos="720"/>
        </w:tabs>
        <w:spacing w:line="240" w:lineRule="auto"/>
        <w:rPr>
          <w:rFonts w:ascii="Calibri" w:hAnsi="Calibri" w:cs="Calibri"/>
          <w:sz w:val="24"/>
          <w:szCs w:val="24"/>
        </w:rPr>
      </w:pPr>
      <w:r w:rsidRPr="002047E1">
        <w:rPr>
          <w:rFonts w:ascii="Calibri" w:hAnsi="Calibri" w:cs="Calibri"/>
          <w:sz w:val="24"/>
          <w:szCs w:val="24"/>
        </w:rPr>
        <w:t xml:space="preserve">The next </w:t>
      </w:r>
      <w:r w:rsidR="005A24FB">
        <w:rPr>
          <w:rFonts w:ascii="Calibri" w:hAnsi="Calibri" w:cs="Calibri"/>
          <w:sz w:val="24"/>
          <w:szCs w:val="24"/>
        </w:rPr>
        <w:t>three</w:t>
      </w:r>
      <w:r w:rsidRPr="002047E1">
        <w:rPr>
          <w:rFonts w:ascii="Calibri" w:hAnsi="Calibri" w:cs="Calibri"/>
          <w:sz w:val="24"/>
          <w:szCs w:val="24"/>
        </w:rPr>
        <w:t xml:space="preserve"> attributes refer to</w:t>
      </w:r>
    </w:p>
    <w:p w14:paraId="5001FCC5" w14:textId="77777777" w:rsidR="00A31245" w:rsidRDefault="009E64F3" w:rsidP="00847FE4">
      <w:pPr>
        <w:pStyle w:val="ListParagraph"/>
        <w:numPr>
          <w:ilvl w:val="0"/>
          <w:numId w:val="5"/>
        </w:numPr>
        <w:tabs>
          <w:tab w:val="num" w:pos="720"/>
        </w:tabs>
        <w:spacing w:line="240" w:lineRule="auto"/>
        <w:rPr>
          <w:rFonts w:ascii="Calibri" w:hAnsi="Calibri" w:cs="Calibri"/>
          <w:sz w:val="24"/>
          <w:szCs w:val="24"/>
        </w:rPr>
      </w:pPr>
      <w:r w:rsidRPr="002047E1">
        <w:rPr>
          <w:rFonts w:ascii="Calibri" w:hAnsi="Calibri" w:cs="Calibri"/>
          <w:sz w:val="24"/>
          <w:szCs w:val="24"/>
        </w:rPr>
        <w:t>the proportion of workers who pay for parking</w:t>
      </w:r>
      <w:r w:rsidR="00A31245" w:rsidRPr="002047E1">
        <w:rPr>
          <w:rFonts w:ascii="Calibri" w:hAnsi="Calibri" w:cs="Calibri"/>
          <w:sz w:val="24"/>
          <w:szCs w:val="24"/>
        </w:rPr>
        <w:t xml:space="preserve"> overall </w:t>
      </w:r>
    </w:p>
    <w:p w14:paraId="125AD4D7" w14:textId="35CE421D" w:rsidR="005A24FB" w:rsidRPr="002047E1" w:rsidRDefault="005A24FB" w:rsidP="00847FE4">
      <w:pPr>
        <w:pStyle w:val="ListParagraph"/>
        <w:numPr>
          <w:ilvl w:val="0"/>
          <w:numId w:val="5"/>
        </w:numPr>
        <w:tabs>
          <w:tab w:val="num" w:pos="720"/>
        </w:tabs>
        <w:spacing w:line="240" w:lineRule="auto"/>
        <w:rPr>
          <w:rFonts w:ascii="Calibri" w:hAnsi="Calibri" w:cs="Calibri"/>
          <w:sz w:val="24"/>
          <w:szCs w:val="24"/>
        </w:rPr>
      </w:pPr>
      <w:r>
        <w:rPr>
          <w:rFonts w:ascii="Calibri" w:hAnsi="Calibri" w:cs="Calibri"/>
          <w:sz w:val="24"/>
          <w:szCs w:val="24"/>
        </w:rPr>
        <w:t>the proportion of non-work trips that require payment for parking</w:t>
      </w:r>
    </w:p>
    <w:p w14:paraId="31BD6D16" w14:textId="1F84061A" w:rsidR="00903724" w:rsidRPr="002047E1" w:rsidRDefault="00A31245" w:rsidP="00847FE4">
      <w:pPr>
        <w:pStyle w:val="ListParagraph"/>
        <w:numPr>
          <w:ilvl w:val="0"/>
          <w:numId w:val="5"/>
        </w:numPr>
        <w:tabs>
          <w:tab w:val="num" w:pos="720"/>
        </w:tabs>
        <w:spacing w:line="240" w:lineRule="auto"/>
        <w:rPr>
          <w:rFonts w:ascii="Calibri" w:hAnsi="Calibri" w:cs="Calibri"/>
          <w:sz w:val="24"/>
          <w:szCs w:val="24"/>
        </w:rPr>
      </w:pPr>
      <w:r w:rsidRPr="002047E1">
        <w:rPr>
          <w:rFonts w:ascii="Calibri" w:hAnsi="Calibri" w:cs="Calibri"/>
          <w:sz w:val="24"/>
          <w:szCs w:val="24"/>
        </w:rPr>
        <w:t xml:space="preserve">the proportion of workers who pay for parking “in </w:t>
      </w:r>
      <w:r w:rsidR="00903724" w:rsidRPr="002047E1">
        <w:rPr>
          <w:rFonts w:ascii="Calibri" w:hAnsi="Calibri" w:cs="Calibri"/>
          <w:sz w:val="24"/>
          <w:szCs w:val="24"/>
        </w:rPr>
        <w:t>a cash-out-buy-back program</w:t>
      </w:r>
      <w:r w:rsidRPr="002047E1">
        <w:rPr>
          <w:rFonts w:ascii="Calibri" w:hAnsi="Calibri" w:cs="Calibri"/>
          <w:sz w:val="24"/>
          <w:szCs w:val="24"/>
        </w:rPr>
        <w:t>”</w:t>
      </w:r>
    </w:p>
    <w:p w14:paraId="05FA01C2" w14:textId="6322116B" w:rsidR="002047E1" w:rsidRPr="002047E1" w:rsidRDefault="002047E1" w:rsidP="00847FE4">
      <w:pPr>
        <w:tabs>
          <w:tab w:val="num" w:pos="720"/>
        </w:tabs>
        <w:spacing w:line="240" w:lineRule="auto"/>
        <w:ind w:left="780"/>
        <w:rPr>
          <w:rFonts w:ascii="Calibri" w:hAnsi="Calibri" w:cs="Calibri"/>
          <w:sz w:val="24"/>
          <w:szCs w:val="24"/>
        </w:rPr>
      </w:pPr>
    </w:p>
    <w:p w14:paraId="1A1D038B" w14:textId="05F52D7A" w:rsidR="00A31245" w:rsidRPr="002047E1" w:rsidRDefault="002047E1" w:rsidP="00847FE4">
      <w:pPr>
        <w:tabs>
          <w:tab w:val="num" w:pos="720"/>
        </w:tabs>
        <w:spacing w:line="240" w:lineRule="auto"/>
        <w:rPr>
          <w:rFonts w:ascii="Calibri" w:hAnsi="Calibri" w:cs="Calibri"/>
          <w:sz w:val="24"/>
          <w:szCs w:val="24"/>
        </w:rPr>
      </w:pPr>
      <w:r w:rsidRPr="002047E1">
        <w:rPr>
          <w:rFonts w:ascii="Calibri" w:hAnsi="Calibri" w:cs="Calibri"/>
          <w:sz w:val="24"/>
          <w:szCs w:val="24"/>
        </w:rPr>
        <w:tab/>
      </w:r>
      <w:r w:rsidR="00A31245" w:rsidRPr="002047E1">
        <w:rPr>
          <w:rFonts w:ascii="Calibri" w:hAnsi="Calibri" w:cs="Calibri"/>
          <w:sz w:val="24"/>
          <w:szCs w:val="24"/>
        </w:rPr>
        <w:t xml:space="preserve">The </w:t>
      </w:r>
      <w:r w:rsidR="00FC3F71">
        <w:rPr>
          <w:rFonts w:ascii="Calibri" w:hAnsi="Calibri" w:cs="Calibri"/>
          <w:sz w:val="24"/>
          <w:szCs w:val="24"/>
        </w:rPr>
        <w:t>last</w:t>
      </w:r>
      <w:r w:rsidR="00A31245" w:rsidRPr="002047E1">
        <w:rPr>
          <w:rFonts w:ascii="Calibri" w:hAnsi="Calibri" w:cs="Calibri"/>
          <w:sz w:val="24"/>
          <w:szCs w:val="24"/>
        </w:rPr>
        <w:t xml:space="preserve"> attribute is the average daily cost for long-term parking—that is, if a tourist would pay $10 for parking for a single day but a commuter could purchase parking </w:t>
      </w:r>
      <w:proofErr w:type="gramStart"/>
      <w:r w:rsidR="00A31245" w:rsidRPr="002047E1">
        <w:rPr>
          <w:rFonts w:ascii="Calibri" w:hAnsi="Calibri" w:cs="Calibri"/>
          <w:sz w:val="24"/>
          <w:szCs w:val="24"/>
        </w:rPr>
        <w:t>on a monthly basis</w:t>
      </w:r>
      <w:proofErr w:type="gramEnd"/>
      <w:r w:rsidR="00A31245" w:rsidRPr="002047E1">
        <w:rPr>
          <w:rFonts w:ascii="Calibri" w:hAnsi="Calibri" w:cs="Calibri"/>
          <w:sz w:val="24"/>
          <w:szCs w:val="24"/>
        </w:rPr>
        <w:t xml:space="preserve"> for $100, then the commuter’s average daily cost would be $100/(20 </w:t>
      </w:r>
      <w:proofErr w:type="gramStart"/>
      <w:r w:rsidR="00A31245" w:rsidRPr="002047E1">
        <w:rPr>
          <w:rFonts w:ascii="Calibri" w:hAnsi="Calibri" w:cs="Calibri"/>
          <w:sz w:val="24"/>
          <w:szCs w:val="24"/>
        </w:rPr>
        <w:t>work days</w:t>
      </w:r>
      <w:proofErr w:type="gramEnd"/>
      <w:r w:rsidR="00A31245" w:rsidRPr="002047E1">
        <w:rPr>
          <w:rFonts w:ascii="Calibri" w:hAnsi="Calibri" w:cs="Calibri"/>
          <w:sz w:val="24"/>
          <w:szCs w:val="24"/>
        </w:rPr>
        <w:t xml:space="preserve"> in a month) = </w:t>
      </w:r>
      <w:r w:rsidR="00847FE4">
        <w:rPr>
          <w:rFonts w:ascii="Calibri" w:hAnsi="Calibri" w:cs="Calibri"/>
          <w:sz w:val="24"/>
          <w:szCs w:val="24"/>
        </w:rPr>
        <w:t xml:space="preserve">about </w:t>
      </w:r>
      <w:r w:rsidR="00A31245" w:rsidRPr="002047E1">
        <w:rPr>
          <w:rFonts w:ascii="Calibri" w:hAnsi="Calibri" w:cs="Calibri"/>
          <w:sz w:val="24"/>
          <w:szCs w:val="24"/>
        </w:rPr>
        <w:t>$5.</w:t>
      </w:r>
    </w:p>
    <w:p w14:paraId="3931E70B" w14:textId="77777777" w:rsidR="00903724" w:rsidRDefault="00903724" w:rsidP="00847FE4">
      <w:pPr>
        <w:tabs>
          <w:tab w:val="num" w:pos="720"/>
        </w:tabs>
        <w:spacing w:line="240" w:lineRule="auto"/>
        <w:rPr>
          <w:rFonts w:ascii="Calibri" w:hAnsi="Calibri" w:cs="Calibri"/>
          <w:sz w:val="24"/>
          <w:szCs w:val="24"/>
        </w:rPr>
      </w:pPr>
    </w:p>
    <w:p w14:paraId="3DBD9B3A" w14:textId="404D5073" w:rsidR="005A24FB" w:rsidRDefault="005A24FB" w:rsidP="00847FE4">
      <w:pPr>
        <w:tabs>
          <w:tab w:val="num" w:pos="720"/>
        </w:tabs>
        <w:spacing w:line="240" w:lineRule="auto"/>
        <w:rPr>
          <w:rFonts w:asciiTheme="majorHAnsi" w:hAnsiTheme="majorHAnsi" w:cstheme="majorHAnsi"/>
          <w:sz w:val="24"/>
          <w:szCs w:val="24"/>
        </w:rPr>
      </w:pPr>
      <w:r>
        <w:rPr>
          <w:rFonts w:ascii="Calibri" w:hAnsi="Calibri" w:cs="Calibri"/>
          <w:sz w:val="24"/>
          <w:szCs w:val="24"/>
        </w:rPr>
        <w:tab/>
      </w:r>
      <w:r>
        <w:rPr>
          <w:rFonts w:ascii="Calibri" w:hAnsi="Calibri" w:cs="Calibri"/>
          <w:sz w:val="24"/>
          <w:szCs w:val="24"/>
        </w:rPr>
        <w:t xml:space="preserve">For example, consider 3 </w:t>
      </w:r>
      <w:r w:rsidR="00D14C00">
        <w:rPr>
          <w:rFonts w:ascii="Calibri" w:hAnsi="Calibri" w:cs="Calibri"/>
          <w:sz w:val="24"/>
          <w:szCs w:val="24"/>
        </w:rPr>
        <w:t>b</w:t>
      </w:r>
      <w:r>
        <w:rPr>
          <w:rFonts w:ascii="Calibri" w:hAnsi="Calibri" w:cs="Calibri"/>
          <w:sz w:val="24"/>
          <w:szCs w:val="24"/>
        </w:rPr>
        <w:t xml:space="preserve">zones:  </w:t>
      </w:r>
      <w:r w:rsidRPr="00447D8C">
        <w:rPr>
          <w:rFonts w:ascii="Calibri" w:hAnsi="Calibri" w:cs="Calibri"/>
          <w:sz w:val="24"/>
          <w:szCs w:val="24"/>
        </w:rPr>
        <w:t>515400010001</w:t>
      </w:r>
      <w:r>
        <w:rPr>
          <w:rFonts w:ascii="Calibri" w:hAnsi="Calibri" w:cs="Calibri"/>
          <w:sz w:val="24"/>
          <w:szCs w:val="24"/>
        </w:rPr>
        <w:t xml:space="preserve"> (downtown Charlottesville), </w:t>
      </w:r>
      <w:r w:rsidRPr="000A5ADB">
        <w:rPr>
          <w:rFonts w:asciiTheme="majorHAnsi" w:hAnsiTheme="majorHAnsi" w:cstheme="majorHAnsi"/>
          <w:sz w:val="24"/>
          <w:szCs w:val="24"/>
        </w:rPr>
        <w:t>510030107021</w:t>
      </w:r>
      <w:r>
        <w:rPr>
          <w:rFonts w:asciiTheme="majorHAnsi" w:hAnsiTheme="majorHAnsi" w:cstheme="majorHAnsi"/>
          <w:sz w:val="24"/>
          <w:szCs w:val="24"/>
        </w:rPr>
        <w:t xml:space="preserve"> (a suburban area near Route 29 in Albemarle County), and </w:t>
      </w:r>
      <w:r w:rsidRPr="000A5ADB">
        <w:rPr>
          <w:rFonts w:asciiTheme="majorHAnsi" w:hAnsiTheme="majorHAnsi" w:cstheme="majorHAnsi"/>
          <w:sz w:val="24"/>
          <w:szCs w:val="24"/>
        </w:rPr>
        <w:t>510030110004</w:t>
      </w:r>
      <w:r>
        <w:rPr>
          <w:rFonts w:asciiTheme="majorHAnsi" w:hAnsiTheme="majorHAnsi" w:cstheme="majorHAnsi"/>
          <w:sz w:val="24"/>
          <w:szCs w:val="24"/>
        </w:rPr>
        <w:t xml:space="preserve"> (a rural residential area in Albemarle County).</w:t>
      </w:r>
    </w:p>
    <w:p w14:paraId="52FA55AD" w14:textId="77777777" w:rsidR="00847FE4" w:rsidRDefault="00847FE4" w:rsidP="00847FE4">
      <w:pPr>
        <w:tabs>
          <w:tab w:val="num" w:pos="720"/>
        </w:tabs>
        <w:spacing w:line="240" w:lineRule="auto"/>
        <w:rPr>
          <w:rFonts w:asciiTheme="majorHAnsi" w:hAnsiTheme="majorHAnsi" w:cstheme="majorHAnsi"/>
          <w:sz w:val="24"/>
          <w:szCs w:val="24"/>
        </w:rPr>
      </w:pPr>
    </w:p>
    <w:p w14:paraId="41AEE547" w14:textId="21813789" w:rsidR="00AE1284" w:rsidRDefault="00847FE4" w:rsidP="00847FE4">
      <w:pPr>
        <w:tabs>
          <w:tab w:val="num" w:pos="720"/>
        </w:tabs>
        <w:spacing w:line="240" w:lineRule="auto"/>
        <w:jc w:val="center"/>
        <w:rPr>
          <w:rFonts w:asciiTheme="majorHAnsi" w:hAnsiTheme="majorHAnsi" w:cstheme="majorHAnsi"/>
          <w:sz w:val="24"/>
          <w:szCs w:val="24"/>
        </w:rPr>
      </w:pPr>
      <w:r w:rsidRPr="00847FE4">
        <w:rPr>
          <w:rFonts w:asciiTheme="majorHAnsi" w:hAnsiTheme="majorHAnsi" w:cstheme="majorHAnsi"/>
          <w:sz w:val="24"/>
          <w:szCs w:val="24"/>
        </w:rPr>
        <w:drawing>
          <wp:inline distT="0" distB="0" distL="0" distR="0" wp14:anchorId="00354846" wp14:editId="17D29BBE">
            <wp:extent cx="6372768" cy="938213"/>
            <wp:effectExtent l="0" t="0" r="0" b="0"/>
            <wp:docPr id="97999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5031" name=""/>
                    <pic:cNvPicPr/>
                  </pic:nvPicPr>
                  <pic:blipFill>
                    <a:blip r:embed="rId8"/>
                    <a:stretch>
                      <a:fillRect/>
                    </a:stretch>
                  </pic:blipFill>
                  <pic:spPr>
                    <a:xfrm>
                      <a:off x="0" y="0"/>
                      <a:ext cx="6396917" cy="941768"/>
                    </a:xfrm>
                    <a:prstGeom prst="rect">
                      <a:avLst/>
                    </a:prstGeom>
                  </pic:spPr>
                </pic:pic>
              </a:graphicData>
            </a:graphic>
          </wp:inline>
        </w:drawing>
      </w:r>
    </w:p>
    <w:p w14:paraId="1BA41FF9" w14:textId="77777777" w:rsidR="00847FE4" w:rsidRDefault="00847FE4" w:rsidP="00847FE4">
      <w:pPr>
        <w:tabs>
          <w:tab w:val="num" w:pos="720"/>
        </w:tabs>
        <w:spacing w:line="240" w:lineRule="auto"/>
        <w:rPr>
          <w:rFonts w:asciiTheme="majorHAnsi" w:hAnsiTheme="majorHAnsi" w:cstheme="majorHAnsi"/>
          <w:sz w:val="24"/>
          <w:szCs w:val="24"/>
        </w:rPr>
      </w:pPr>
    </w:p>
    <w:p w14:paraId="27CD1C7C" w14:textId="71142191" w:rsidR="00394932" w:rsidRDefault="00847FE4" w:rsidP="00847FE4">
      <w:pPr>
        <w:tabs>
          <w:tab w:val="num" w:pos="720"/>
        </w:tabs>
        <w:spacing w:line="240" w:lineRule="auto"/>
        <w:rPr>
          <w:rFonts w:ascii="Calibri" w:hAnsi="Calibri" w:cs="Calibri"/>
          <w:sz w:val="24"/>
          <w:szCs w:val="24"/>
        </w:rPr>
      </w:pPr>
      <w:r>
        <w:rPr>
          <w:rFonts w:ascii="Calibri" w:hAnsi="Calibri" w:cs="Calibri"/>
          <w:sz w:val="24"/>
          <w:szCs w:val="24"/>
        </w:rPr>
        <w:tab/>
        <w:t>For all three bzones, t</w:t>
      </w:r>
      <w:r w:rsidR="00AE1284">
        <w:rPr>
          <w:rFonts w:ascii="Calibri" w:hAnsi="Calibri" w:cs="Calibri"/>
          <w:sz w:val="24"/>
          <w:szCs w:val="24"/>
        </w:rPr>
        <w:t xml:space="preserve">he data suggest </w:t>
      </w:r>
      <w:r w:rsidR="002B3494">
        <w:rPr>
          <w:rFonts w:ascii="Calibri" w:hAnsi="Calibri" w:cs="Calibri"/>
          <w:sz w:val="24"/>
          <w:szCs w:val="24"/>
        </w:rPr>
        <w:t xml:space="preserve">the number of fee parking spaces per single family dwelling unit is 2, per multifamily dwelling unit it is 1.2, and 0.1 for group quarters such as dormitories.  In the most urban </w:t>
      </w:r>
      <w:r w:rsidR="00D14C00">
        <w:rPr>
          <w:rFonts w:ascii="Calibri" w:hAnsi="Calibri" w:cs="Calibri"/>
          <w:sz w:val="24"/>
          <w:szCs w:val="24"/>
        </w:rPr>
        <w:t>b</w:t>
      </w:r>
      <w:r w:rsidR="002B3494">
        <w:rPr>
          <w:rFonts w:ascii="Calibri" w:hAnsi="Calibri" w:cs="Calibri"/>
          <w:sz w:val="24"/>
          <w:szCs w:val="24"/>
        </w:rPr>
        <w:t>zone, about 50% of workers pay for parking (compared to 15% for non-work trips), with most persons in a cash-out buy back program still choosing to pay for parking (70%).  In that same urban zone, a monthly parker pays $6 per day.  In the two less-urbanized zones, all parking is free</w:t>
      </w:r>
      <w:r>
        <w:rPr>
          <w:rFonts w:ascii="Calibri" w:hAnsi="Calibri" w:cs="Calibri"/>
          <w:sz w:val="24"/>
          <w:szCs w:val="24"/>
        </w:rPr>
        <w:t xml:space="preserve"> and thus the last four attributes are all zero.</w:t>
      </w:r>
    </w:p>
    <w:p w14:paraId="69D10F02" w14:textId="0010515A" w:rsidR="00903724" w:rsidRDefault="00903724" w:rsidP="00847FE4">
      <w:pPr>
        <w:tabs>
          <w:tab w:val="num" w:pos="720"/>
        </w:tabs>
        <w:spacing w:line="240" w:lineRule="auto"/>
        <w:rPr>
          <w:rFonts w:asciiTheme="majorHAnsi" w:hAnsiTheme="majorHAnsi" w:cstheme="majorHAnsi"/>
          <w:sz w:val="24"/>
          <w:szCs w:val="24"/>
        </w:rPr>
      </w:pPr>
      <w:r>
        <w:rPr>
          <w:rFonts w:ascii="Calibri" w:hAnsi="Calibri" w:cs="Calibri"/>
          <w:sz w:val="24"/>
          <w:szCs w:val="24"/>
        </w:rPr>
        <w:t xml:space="preserve"> </w:t>
      </w:r>
    </w:p>
    <w:p w14:paraId="1439B597" w14:textId="77777777" w:rsidR="00903724" w:rsidRDefault="00903724" w:rsidP="00903724">
      <w:pPr>
        <w:tabs>
          <w:tab w:val="num" w:pos="720"/>
        </w:tabs>
        <w:spacing w:line="240" w:lineRule="auto"/>
        <w:rPr>
          <w:rFonts w:asciiTheme="majorHAnsi" w:hAnsiTheme="majorHAnsi" w:cstheme="majorHAnsi"/>
          <w:b/>
          <w:bCs/>
          <w:noProof/>
          <w:sz w:val="24"/>
          <w:szCs w:val="24"/>
        </w:rPr>
      </w:pPr>
      <w:r w:rsidRPr="000D2CAD">
        <w:rPr>
          <w:rFonts w:asciiTheme="majorHAnsi" w:hAnsiTheme="majorHAnsi" w:cstheme="majorHAnsi"/>
          <w:b/>
          <w:bCs/>
          <w:noProof/>
          <w:sz w:val="24"/>
          <w:szCs w:val="24"/>
        </w:rPr>
        <w:t>Possible Scenario</w:t>
      </w:r>
    </w:p>
    <w:p w14:paraId="41298135" w14:textId="77777777" w:rsidR="00D14C00" w:rsidRPr="000D2CAD" w:rsidRDefault="00D14C00" w:rsidP="00903724">
      <w:pPr>
        <w:tabs>
          <w:tab w:val="num" w:pos="720"/>
        </w:tabs>
        <w:spacing w:line="240" w:lineRule="auto"/>
        <w:rPr>
          <w:rFonts w:asciiTheme="majorHAnsi" w:hAnsiTheme="majorHAnsi" w:cstheme="majorHAnsi"/>
          <w:b/>
          <w:bCs/>
          <w:noProof/>
          <w:sz w:val="24"/>
          <w:szCs w:val="24"/>
        </w:rPr>
      </w:pPr>
    </w:p>
    <w:p w14:paraId="04F830FC" w14:textId="4274B355" w:rsidR="00903724" w:rsidRDefault="00903724" w:rsidP="00903724">
      <w:pPr>
        <w:tabs>
          <w:tab w:val="num" w:pos="720"/>
        </w:tabs>
        <w:spacing w:line="240" w:lineRule="auto"/>
        <w:rPr>
          <w:rFonts w:asciiTheme="majorHAnsi" w:hAnsiTheme="majorHAnsi" w:cstheme="majorHAnsi"/>
          <w:noProof/>
          <w:sz w:val="24"/>
          <w:szCs w:val="24"/>
        </w:rPr>
      </w:pPr>
      <w:r>
        <w:rPr>
          <w:rFonts w:asciiTheme="majorHAnsi" w:hAnsiTheme="majorHAnsi" w:cstheme="majorHAnsi"/>
          <w:noProof/>
          <w:sz w:val="24"/>
          <w:szCs w:val="24"/>
        </w:rPr>
        <w:tab/>
        <w:t xml:space="preserve">The </w:t>
      </w:r>
      <w:r w:rsidRPr="000D2CAD">
        <w:rPr>
          <w:rFonts w:asciiTheme="majorHAnsi" w:hAnsiTheme="majorHAnsi" w:cstheme="majorHAnsi"/>
          <w:sz w:val="24"/>
          <w:szCs w:val="24"/>
        </w:rPr>
        <w:t>document Task 7.2 Simplified Scenario Development guide</w:t>
      </w:r>
      <w:r>
        <w:rPr>
          <w:rFonts w:asciiTheme="majorHAnsi" w:hAnsiTheme="majorHAnsi" w:cstheme="majorHAnsi"/>
          <w:sz w:val="24"/>
          <w:szCs w:val="24"/>
        </w:rPr>
        <w:t xml:space="preserve">, </w:t>
      </w:r>
      <w:r w:rsidRPr="000D2CAD">
        <w:rPr>
          <w:rFonts w:asciiTheme="majorHAnsi" w:hAnsiTheme="majorHAnsi" w:cstheme="majorHAnsi"/>
          <w:sz w:val="24"/>
          <w:szCs w:val="24"/>
        </w:rPr>
        <w:t>available at </w:t>
      </w:r>
      <w:hyperlink r:id="rId9" w:tgtFrame="_blank" w:history="1">
        <w:r w:rsidRPr="000D2CAD">
          <w:rPr>
            <w:rStyle w:val="Hyperlink"/>
            <w:rFonts w:asciiTheme="majorHAnsi" w:hAnsiTheme="majorHAnsi" w:cstheme="majorHAnsi"/>
            <w:sz w:val="24"/>
            <w:szCs w:val="24"/>
          </w:rPr>
          <w:t>A Playbook for Simplified Approaches for Creating Scenarios in VisionEval</w:t>
        </w:r>
      </w:hyperlink>
      <w:r w:rsidR="00D14C00">
        <w:t xml:space="preserve"> devotes a substantial amount of attention to this topic, with the word “parking” appearing 60 times</w:t>
      </w:r>
      <w:r>
        <w:rPr>
          <w:rFonts w:asciiTheme="majorHAnsi" w:hAnsiTheme="majorHAnsi" w:cstheme="majorHAnsi"/>
          <w:noProof/>
          <w:sz w:val="24"/>
          <w:szCs w:val="24"/>
        </w:rPr>
        <w:t>.</w:t>
      </w:r>
      <w:r w:rsidR="00D14C00">
        <w:rPr>
          <w:rFonts w:asciiTheme="majorHAnsi" w:hAnsiTheme="majorHAnsi" w:cstheme="majorHAnsi"/>
          <w:noProof/>
          <w:sz w:val="24"/>
          <w:szCs w:val="24"/>
        </w:rPr>
        <w:t xml:space="preserve">  Three scenarios suggested therein are:  (1) examine how modes of travel change from auto to transit, bike, and walk as the parking pricing is raised; (2) determine if an increase in parking pricing in bzone X causes greater shopping to bzone Y with free parking, and (3) compare the imapct of work parking prices and shopping parking prices on global outputs such as VMT and emissions.</w:t>
      </w:r>
    </w:p>
    <w:p w14:paraId="2F1E053D" w14:textId="77777777" w:rsidR="00394932" w:rsidRDefault="00394932" w:rsidP="00903724">
      <w:pPr>
        <w:rPr>
          <w:rFonts w:asciiTheme="majorHAnsi" w:hAnsiTheme="majorHAnsi" w:cstheme="majorHAnsi"/>
          <w:b/>
          <w:bCs/>
          <w:sz w:val="24"/>
          <w:szCs w:val="24"/>
        </w:rPr>
      </w:pPr>
    </w:p>
    <w:p w14:paraId="407BDFD4" w14:textId="02CA8A08" w:rsidR="00903724" w:rsidRDefault="00903724" w:rsidP="00903724">
      <w:pPr>
        <w:rPr>
          <w:rFonts w:asciiTheme="majorHAnsi" w:hAnsiTheme="majorHAnsi" w:cstheme="majorHAnsi"/>
          <w:b/>
          <w:bCs/>
          <w:sz w:val="24"/>
          <w:szCs w:val="24"/>
        </w:rPr>
      </w:pPr>
      <w:r w:rsidRPr="000D2CAD">
        <w:rPr>
          <w:rFonts w:asciiTheme="majorHAnsi" w:hAnsiTheme="majorHAnsi" w:cstheme="majorHAnsi"/>
          <w:b/>
          <w:bCs/>
          <w:sz w:val="24"/>
          <w:szCs w:val="24"/>
        </w:rPr>
        <w:t>Method Used for Virginia</w:t>
      </w:r>
    </w:p>
    <w:p w14:paraId="616DFF8B" w14:textId="77777777" w:rsidR="009F676F" w:rsidRDefault="009F676F" w:rsidP="00903724">
      <w:pPr>
        <w:rPr>
          <w:rFonts w:asciiTheme="majorHAnsi" w:hAnsiTheme="majorHAnsi" w:cstheme="majorHAnsi"/>
          <w:sz w:val="24"/>
          <w:szCs w:val="24"/>
        </w:rPr>
      </w:pPr>
    </w:p>
    <w:p w14:paraId="35597771" w14:textId="21F573BA" w:rsidR="00FC3F71" w:rsidRPr="00C30708" w:rsidRDefault="00FC3F71" w:rsidP="00C30708">
      <w:pPr>
        <w:ind w:firstLine="720"/>
        <w:rPr>
          <w:rFonts w:ascii="Calibri" w:hAnsi="Calibri" w:cs="Calibri"/>
          <w:sz w:val="24"/>
          <w:szCs w:val="24"/>
        </w:rPr>
      </w:pPr>
      <w:r w:rsidRPr="00C30708">
        <w:rPr>
          <w:rFonts w:ascii="Calibri" w:hAnsi="Calibri" w:cs="Calibri"/>
          <w:sz w:val="24"/>
          <w:szCs w:val="24"/>
        </w:rPr>
        <w:t xml:space="preserve">For the first three attributes, the same value was used for all Bzones in Virginia, where the number of </w:t>
      </w:r>
      <w:r w:rsidRPr="00C30708">
        <w:rPr>
          <w:rFonts w:ascii="Calibri" w:hAnsi="Calibri" w:cs="Calibri"/>
          <w:sz w:val="24"/>
          <w:szCs w:val="24"/>
        </w:rPr>
        <w:t xml:space="preserve">free parking spaces for residents of </w:t>
      </w:r>
      <w:r w:rsidR="00D14C00" w:rsidRPr="00C30708">
        <w:rPr>
          <w:rFonts w:ascii="Calibri" w:hAnsi="Calibri" w:cs="Calibri"/>
          <w:sz w:val="24"/>
          <w:szCs w:val="24"/>
        </w:rPr>
        <w:t>single-family</w:t>
      </w:r>
      <w:r w:rsidRPr="00C30708">
        <w:rPr>
          <w:rFonts w:ascii="Calibri" w:hAnsi="Calibri" w:cs="Calibri"/>
          <w:sz w:val="24"/>
          <w:szCs w:val="24"/>
        </w:rPr>
        <w:t xml:space="preserve"> dwellings, multifamily dwellings, and group quarters residents</w:t>
      </w:r>
      <w:r w:rsidRPr="00C30708">
        <w:rPr>
          <w:rFonts w:ascii="Calibri" w:hAnsi="Calibri" w:cs="Calibri"/>
          <w:sz w:val="24"/>
          <w:szCs w:val="24"/>
        </w:rPr>
        <w:t xml:space="preserve"> was set at 2, 1.2, and 0.10.  All three values may be adjusted by the analyst:</w:t>
      </w:r>
    </w:p>
    <w:p w14:paraId="6FAAB1DE" w14:textId="6DB87426" w:rsidR="00FC3F71" w:rsidRDefault="00FC3F71" w:rsidP="00FC3F71">
      <w:pPr>
        <w:pStyle w:val="ListParagraph"/>
        <w:numPr>
          <w:ilvl w:val="1"/>
          <w:numId w:val="9"/>
        </w:numPr>
        <w:rPr>
          <w:rFonts w:ascii="Calibri" w:hAnsi="Calibri" w:cs="Calibri"/>
          <w:sz w:val="24"/>
          <w:szCs w:val="24"/>
        </w:rPr>
      </w:pPr>
      <w:r>
        <w:rPr>
          <w:rFonts w:ascii="Calibri" w:hAnsi="Calibri" w:cs="Calibri"/>
          <w:sz w:val="24"/>
          <w:szCs w:val="24"/>
        </w:rPr>
        <w:t xml:space="preserve">For single family detached dwelling units, the </w:t>
      </w:r>
      <w:r w:rsidR="00D14C00">
        <w:rPr>
          <w:rFonts w:ascii="Calibri" w:hAnsi="Calibri" w:cs="Calibri"/>
          <w:sz w:val="24"/>
          <w:szCs w:val="24"/>
        </w:rPr>
        <w:t>availability</w:t>
      </w:r>
      <w:r>
        <w:rPr>
          <w:rFonts w:ascii="Calibri" w:hAnsi="Calibri" w:cs="Calibri"/>
          <w:sz w:val="24"/>
          <w:szCs w:val="24"/>
        </w:rPr>
        <w:t xml:space="preserve"> of street parking and driveways could influence this number in high density areas.</w:t>
      </w:r>
    </w:p>
    <w:p w14:paraId="7AA3B24E" w14:textId="5621F46C" w:rsidR="00FC3F71" w:rsidRDefault="00FC3F71" w:rsidP="00FC3F71">
      <w:pPr>
        <w:pStyle w:val="ListParagraph"/>
        <w:numPr>
          <w:ilvl w:val="1"/>
          <w:numId w:val="9"/>
        </w:numPr>
        <w:rPr>
          <w:rFonts w:ascii="Calibri" w:hAnsi="Calibri" w:cs="Calibri"/>
          <w:sz w:val="24"/>
          <w:szCs w:val="24"/>
        </w:rPr>
      </w:pPr>
      <w:r>
        <w:rPr>
          <w:rFonts w:ascii="Calibri" w:hAnsi="Calibri" w:cs="Calibri"/>
          <w:sz w:val="24"/>
          <w:szCs w:val="24"/>
        </w:rPr>
        <w:t>The free parking for multifamily dwellings should vary by location as a rough function of density, so this may be adjusted by the analyst.</w:t>
      </w:r>
    </w:p>
    <w:p w14:paraId="333716A6" w14:textId="1A5E6358" w:rsidR="00FC3F71" w:rsidRDefault="00FC3F71" w:rsidP="00FC3F71">
      <w:pPr>
        <w:pStyle w:val="ListParagraph"/>
        <w:numPr>
          <w:ilvl w:val="1"/>
          <w:numId w:val="9"/>
        </w:numPr>
        <w:rPr>
          <w:rFonts w:ascii="Calibri" w:hAnsi="Calibri" w:cs="Calibri"/>
          <w:sz w:val="24"/>
          <w:szCs w:val="24"/>
        </w:rPr>
      </w:pPr>
      <w:r>
        <w:rPr>
          <w:rFonts w:ascii="Calibri" w:hAnsi="Calibri" w:cs="Calibri"/>
          <w:sz w:val="24"/>
          <w:szCs w:val="24"/>
        </w:rPr>
        <w:t>For group quarters parking, using the example of college dormitories, the amount of free parking tends to be low, and the team selected a low percentage of 0.10.  This value may be adjusted.</w:t>
      </w:r>
    </w:p>
    <w:p w14:paraId="3AF6FE9B" w14:textId="77777777" w:rsidR="00C30708" w:rsidRDefault="00C30708" w:rsidP="00C30708">
      <w:pPr>
        <w:rPr>
          <w:rFonts w:ascii="Calibri" w:hAnsi="Calibri" w:cs="Calibri"/>
          <w:sz w:val="24"/>
          <w:szCs w:val="24"/>
        </w:rPr>
      </w:pPr>
    </w:p>
    <w:p w14:paraId="197B1386" w14:textId="6320C222" w:rsidR="00A37C03" w:rsidRDefault="00FC3F71" w:rsidP="00A37C03">
      <w:pPr>
        <w:ind w:firstLine="720"/>
        <w:rPr>
          <w:rFonts w:ascii="Calibri" w:hAnsi="Calibri" w:cs="Calibri"/>
          <w:sz w:val="24"/>
          <w:szCs w:val="24"/>
        </w:rPr>
      </w:pPr>
      <w:r w:rsidRPr="00C30708">
        <w:rPr>
          <w:rFonts w:ascii="Calibri" w:hAnsi="Calibri" w:cs="Calibri"/>
          <w:sz w:val="24"/>
          <w:szCs w:val="24"/>
        </w:rPr>
        <w:t xml:space="preserve">For the </w:t>
      </w:r>
      <w:r w:rsidR="00A37C03">
        <w:rPr>
          <w:rFonts w:ascii="Calibri" w:hAnsi="Calibri" w:cs="Calibri"/>
          <w:sz w:val="24"/>
          <w:szCs w:val="24"/>
        </w:rPr>
        <w:t xml:space="preserve">fourth and fifth attributes, </w:t>
      </w:r>
      <w:r w:rsidR="00A37C03" w:rsidRPr="00C30708">
        <w:rPr>
          <w:rFonts w:ascii="Calibri" w:hAnsi="Calibri" w:cs="Calibri"/>
          <w:sz w:val="24"/>
          <w:szCs w:val="24"/>
        </w:rPr>
        <w:t>the team</w:t>
      </w:r>
      <w:r w:rsidR="00A37C03">
        <w:rPr>
          <w:rFonts w:ascii="Calibri" w:hAnsi="Calibri" w:cs="Calibri"/>
          <w:sz w:val="24"/>
          <w:szCs w:val="24"/>
        </w:rPr>
        <w:t xml:space="preserve"> indicated that for bzones with free parking, 0% of workers and 0% of non-work trips entailed payment for parking.  For bzones with paid parking, the research team arbitrarily set </w:t>
      </w:r>
      <w:r w:rsidR="00D14C00">
        <w:rPr>
          <w:rFonts w:ascii="Calibri" w:hAnsi="Calibri" w:cs="Calibri"/>
          <w:sz w:val="24"/>
          <w:szCs w:val="24"/>
        </w:rPr>
        <w:t xml:space="preserve">the work trip percentage at </w:t>
      </w:r>
      <w:r w:rsidR="00A37C03">
        <w:rPr>
          <w:rFonts w:ascii="Calibri" w:hAnsi="Calibri" w:cs="Calibri"/>
          <w:sz w:val="24"/>
          <w:szCs w:val="24"/>
        </w:rPr>
        <w:t xml:space="preserve">50%.  </w:t>
      </w:r>
      <w:r w:rsidR="00A37C03" w:rsidRPr="00C30708">
        <w:rPr>
          <w:rFonts w:ascii="Calibri" w:hAnsi="Calibri" w:cs="Calibri"/>
          <w:sz w:val="24"/>
          <w:szCs w:val="24"/>
        </w:rPr>
        <w:t xml:space="preserve">This </w:t>
      </w:r>
      <w:r w:rsidR="00A37C03">
        <w:rPr>
          <w:rFonts w:ascii="Calibri" w:hAnsi="Calibri" w:cs="Calibri"/>
          <w:sz w:val="24"/>
          <w:szCs w:val="24"/>
        </w:rPr>
        <w:t>50%</w:t>
      </w:r>
      <w:r w:rsidR="00A37C03" w:rsidRPr="00C30708">
        <w:rPr>
          <w:rFonts w:ascii="Calibri" w:hAnsi="Calibri" w:cs="Calibri"/>
          <w:sz w:val="24"/>
          <w:szCs w:val="24"/>
        </w:rPr>
        <w:t xml:space="preserve"> may be </w:t>
      </w:r>
      <w:r w:rsidR="00A37C03">
        <w:rPr>
          <w:rFonts w:ascii="Calibri" w:hAnsi="Calibri" w:cs="Calibri"/>
          <w:sz w:val="24"/>
          <w:szCs w:val="24"/>
        </w:rPr>
        <w:t xml:space="preserve">adjusted, of course, </w:t>
      </w:r>
      <w:proofErr w:type="gramStart"/>
      <w:r w:rsidR="00A37C03">
        <w:rPr>
          <w:rFonts w:ascii="Calibri" w:hAnsi="Calibri" w:cs="Calibri"/>
          <w:sz w:val="24"/>
          <w:szCs w:val="24"/>
        </w:rPr>
        <w:t>with</w:t>
      </w:r>
      <w:proofErr w:type="gramEnd"/>
      <w:r w:rsidR="00A37C03">
        <w:rPr>
          <w:rFonts w:ascii="Calibri" w:hAnsi="Calibri" w:cs="Calibri"/>
          <w:sz w:val="24"/>
          <w:szCs w:val="24"/>
        </w:rPr>
        <w:t xml:space="preserve"> local information.  Note the 5</w:t>
      </w:r>
      <w:r w:rsidR="00A37C03" w:rsidRPr="00A37C03">
        <w:rPr>
          <w:rFonts w:ascii="Calibri" w:hAnsi="Calibri" w:cs="Calibri"/>
          <w:sz w:val="24"/>
          <w:szCs w:val="24"/>
          <w:vertAlign w:val="superscript"/>
        </w:rPr>
        <w:t>th</w:t>
      </w:r>
      <w:r w:rsidR="00A37C03">
        <w:rPr>
          <w:rFonts w:ascii="Calibri" w:hAnsi="Calibri" w:cs="Calibri"/>
          <w:sz w:val="24"/>
          <w:szCs w:val="24"/>
        </w:rPr>
        <w:t xml:space="preserve"> </w:t>
      </w:r>
      <w:r w:rsidR="00D14C00">
        <w:rPr>
          <w:rFonts w:ascii="Calibri" w:hAnsi="Calibri" w:cs="Calibri"/>
          <w:sz w:val="24"/>
          <w:szCs w:val="24"/>
        </w:rPr>
        <w:t>attribute (PropNonWrkTripPay) is</w:t>
      </w:r>
      <w:r w:rsidR="00A37C03">
        <w:rPr>
          <w:rFonts w:ascii="Calibri" w:hAnsi="Calibri" w:cs="Calibri"/>
          <w:sz w:val="24"/>
          <w:szCs w:val="24"/>
        </w:rPr>
        <w:t xml:space="preserve"> </w:t>
      </w:r>
      <w:r w:rsidR="00A37C03">
        <w:rPr>
          <w:rFonts w:ascii="Calibri" w:hAnsi="Calibri" w:cs="Calibri"/>
          <w:sz w:val="24"/>
          <w:szCs w:val="24"/>
        </w:rPr>
        <w:t xml:space="preserve">not given in the VisionEval documentation but rather described at </w:t>
      </w:r>
      <w:r w:rsidR="00A37C03" w:rsidRPr="00C30708">
        <w:rPr>
          <w:rFonts w:ascii="Calibri" w:hAnsi="Calibri" w:cs="Calibri"/>
          <w:sz w:val="24"/>
          <w:szCs w:val="24"/>
        </w:rPr>
        <w:t>https://github.com/gregorbj/OregonDOT-VisionEval/blob/master/documents/drafts/Non-Work_Parking_Mods.md?plain=1</w:t>
      </w:r>
      <w:r w:rsidR="00A37C03">
        <w:rPr>
          <w:rFonts w:ascii="Calibri" w:hAnsi="Calibri" w:cs="Calibri"/>
          <w:sz w:val="24"/>
          <w:szCs w:val="24"/>
        </w:rPr>
        <w:t>. If this attribute is excluded, then it is assumed that “</w:t>
      </w:r>
      <w:r w:rsidR="00A37C03" w:rsidRPr="00A37C03">
        <w:rPr>
          <w:rFonts w:ascii="Calibri" w:hAnsi="Calibri" w:cs="Calibri"/>
          <w:sz w:val="24"/>
          <w:szCs w:val="24"/>
        </w:rPr>
        <w:t>non-work travel to a Bzone pays for parking if a parking cost has been assigned to a Bzone.</w:t>
      </w:r>
      <w:r w:rsidR="00A37C03">
        <w:rPr>
          <w:rFonts w:ascii="Calibri" w:hAnsi="Calibri" w:cs="Calibri"/>
          <w:sz w:val="24"/>
          <w:szCs w:val="24"/>
        </w:rPr>
        <w:t>”</w:t>
      </w:r>
      <w:r w:rsidR="00A37C03">
        <w:rPr>
          <w:rFonts w:ascii="Calibri" w:hAnsi="Calibri" w:cs="Calibri"/>
          <w:sz w:val="24"/>
          <w:szCs w:val="24"/>
        </w:rPr>
        <w:t xml:space="preserve">  </w:t>
      </w:r>
      <w:r w:rsidR="00D14C00">
        <w:rPr>
          <w:rFonts w:ascii="Calibri" w:hAnsi="Calibri" w:cs="Calibri"/>
          <w:sz w:val="24"/>
          <w:szCs w:val="24"/>
        </w:rPr>
        <w:t>For bzones with paid parking, t</w:t>
      </w:r>
      <w:r w:rsidR="00A37C03">
        <w:rPr>
          <w:rFonts w:ascii="Calibri" w:hAnsi="Calibri" w:cs="Calibri"/>
          <w:sz w:val="24"/>
          <w:szCs w:val="24"/>
        </w:rPr>
        <w:t xml:space="preserve">he </w:t>
      </w:r>
      <w:r w:rsidR="00D14C00">
        <w:rPr>
          <w:rFonts w:ascii="Calibri" w:hAnsi="Calibri" w:cs="Calibri"/>
          <w:sz w:val="24"/>
          <w:szCs w:val="24"/>
        </w:rPr>
        <w:t xml:space="preserve">research </w:t>
      </w:r>
      <w:r w:rsidR="00A37C03">
        <w:rPr>
          <w:rFonts w:ascii="Calibri" w:hAnsi="Calibri" w:cs="Calibri"/>
          <w:sz w:val="24"/>
          <w:szCs w:val="24"/>
        </w:rPr>
        <w:t xml:space="preserve">team set this to </w:t>
      </w:r>
      <w:r w:rsidR="005A24FB">
        <w:rPr>
          <w:rFonts w:ascii="Calibri" w:hAnsi="Calibri" w:cs="Calibri"/>
          <w:sz w:val="24"/>
          <w:szCs w:val="24"/>
        </w:rPr>
        <w:t>1</w:t>
      </w:r>
      <w:r w:rsidR="00A37C03">
        <w:rPr>
          <w:rFonts w:ascii="Calibri" w:hAnsi="Calibri" w:cs="Calibri"/>
          <w:sz w:val="24"/>
          <w:szCs w:val="24"/>
        </w:rPr>
        <w:t>5% to reflect that nonwork trips are more discretionary</w:t>
      </w:r>
      <w:r w:rsidR="00D14C00">
        <w:rPr>
          <w:rFonts w:ascii="Calibri" w:hAnsi="Calibri" w:cs="Calibri"/>
          <w:sz w:val="24"/>
          <w:szCs w:val="24"/>
        </w:rPr>
        <w:t>, but a different percentage could be chosen (although logically that percentage should be lower than that of PropWkrPay).</w:t>
      </w:r>
    </w:p>
    <w:p w14:paraId="7EC1E6DE" w14:textId="77777777" w:rsidR="00A37C03" w:rsidRDefault="00A37C03" w:rsidP="00C30708">
      <w:pPr>
        <w:ind w:firstLine="720"/>
        <w:rPr>
          <w:rFonts w:ascii="Calibri" w:hAnsi="Calibri" w:cs="Calibri"/>
          <w:sz w:val="24"/>
          <w:szCs w:val="24"/>
        </w:rPr>
      </w:pPr>
    </w:p>
    <w:p w14:paraId="19439431" w14:textId="35A48474" w:rsidR="00A37C03" w:rsidRDefault="00A37C03" w:rsidP="00C30708">
      <w:pPr>
        <w:ind w:firstLine="720"/>
        <w:rPr>
          <w:rFonts w:ascii="Calibri" w:hAnsi="Calibri" w:cs="Calibri"/>
          <w:sz w:val="24"/>
          <w:szCs w:val="24"/>
        </w:rPr>
      </w:pPr>
      <w:r>
        <w:rPr>
          <w:rFonts w:ascii="Calibri" w:hAnsi="Calibri" w:cs="Calibri"/>
          <w:sz w:val="24"/>
          <w:szCs w:val="24"/>
        </w:rPr>
        <w:t>For the 6</w:t>
      </w:r>
      <w:r w:rsidRPr="00A37C03">
        <w:rPr>
          <w:rFonts w:ascii="Calibri" w:hAnsi="Calibri" w:cs="Calibri"/>
          <w:sz w:val="24"/>
          <w:szCs w:val="24"/>
          <w:vertAlign w:val="superscript"/>
        </w:rPr>
        <w:t>th</w:t>
      </w:r>
      <w:r>
        <w:rPr>
          <w:rFonts w:ascii="Calibri" w:hAnsi="Calibri" w:cs="Calibri"/>
          <w:sz w:val="24"/>
          <w:szCs w:val="24"/>
        </w:rPr>
        <w:t xml:space="preserve"> attribute, the team indicated that</w:t>
      </w:r>
      <w:r w:rsidR="00C30708" w:rsidRPr="00C30708">
        <w:rPr>
          <w:rFonts w:ascii="Calibri" w:hAnsi="Calibri" w:cs="Calibri"/>
          <w:sz w:val="24"/>
          <w:szCs w:val="24"/>
        </w:rPr>
        <w:t xml:space="preserve"> </w:t>
      </w:r>
      <w:r w:rsidR="00D14C00">
        <w:rPr>
          <w:rFonts w:ascii="Calibri" w:hAnsi="Calibri" w:cs="Calibri"/>
          <w:sz w:val="24"/>
          <w:szCs w:val="24"/>
        </w:rPr>
        <w:t>70</w:t>
      </w:r>
      <w:r w:rsidR="00C30708" w:rsidRPr="00C30708">
        <w:rPr>
          <w:rFonts w:ascii="Calibri" w:hAnsi="Calibri" w:cs="Calibri"/>
          <w:sz w:val="24"/>
          <w:szCs w:val="24"/>
        </w:rPr>
        <w:t>%</w:t>
      </w:r>
      <w:r w:rsidR="00D14C00">
        <w:rPr>
          <w:rFonts w:ascii="Calibri" w:hAnsi="Calibri" w:cs="Calibri"/>
          <w:sz w:val="24"/>
          <w:szCs w:val="24"/>
        </w:rPr>
        <w:t xml:space="preserve"> (most)</w:t>
      </w:r>
      <w:r w:rsidR="00C30708" w:rsidRPr="00C30708">
        <w:rPr>
          <w:rFonts w:ascii="Calibri" w:hAnsi="Calibri" w:cs="Calibri"/>
          <w:sz w:val="24"/>
          <w:szCs w:val="24"/>
        </w:rPr>
        <w:t xml:space="preserve"> </w:t>
      </w:r>
      <w:r w:rsidR="00D14C00">
        <w:rPr>
          <w:rFonts w:ascii="Calibri" w:hAnsi="Calibri" w:cs="Calibri"/>
          <w:sz w:val="24"/>
          <w:szCs w:val="24"/>
        </w:rPr>
        <w:t xml:space="preserve">of workers </w:t>
      </w:r>
      <w:r w:rsidR="00C30708" w:rsidRPr="00C30708">
        <w:rPr>
          <w:rFonts w:ascii="Calibri" w:hAnsi="Calibri" w:cs="Calibri"/>
          <w:sz w:val="24"/>
          <w:szCs w:val="24"/>
        </w:rPr>
        <w:t xml:space="preserve">pay for parking in a cash-out-buy-back program </w:t>
      </w:r>
      <w:r>
        <w:rPr>
          <w:rFonts w:ascii="Calibri" w:hAnsi="Calibri" w:cs="Calibri"/>
          <w:sz w:val="24"/>
          <w:szCs w:val="24"/>
        </w:rPr>
        <w:t xml:space="preserve">for areas where there is a parking charge and 0% otherwise.  The </w:t>
      </w:r>
      <w:r w:rsidR="00D14C00">
        <w:rPr>
          <w:rFonts w:ascii="Calibri" w:hAnsi="Calibri" w:cs="Calibri"/>
          <w:sz w:val="24"/>
          <w:szCs w:val="24"/>
        </w:rPr>
        <w:t>70</w:t>
      </w:r>
      <w:r w:rsidR="00C30708" w:rsidRPr="00C30708">
        <w:rPr>
          <w:rFonts w:ascii="Calibri" w:hAnsi="Calibri" w:cs="Calibri"/>
          <w:sz w:val="24"/>
          <w:szCs w:val="24"/>
        </w:rPr>
        <w:t xml:space="preserve">% may be </w:t>
      </w:r>
      <w:r>
        <w:rPr>
          <w:rFonts w:ascii="Calibri" w:hAnsi="Calibri" w:cs="Calibri"/>
          <w:sz w:val="24"/>
          <w:szCs w:val="24"/>
        </w:rPr>
        <w:t xml:space="preserve">adjusted </w:t>
      </w:r>
      <w:r w:rsidR="00C30708" w:rsidRPr="00C30708">
        <w:rPr>
          <w:rFonts w:ascii="Calibri" w:hAnsi="Calibri" w:cs="Calibri"/>
          <w:sz w:val="24"/>
          <w:szCs w:val="24"/>
        </w:rPr>
        <w:t>in areas where information on travel demand management progra</w:t>
      </w:r>
      <w:r>
        <w:rPr>
          <w:rFonts w:ascii="Calibri" w:hAnsi="Calibri" w:cs="Calibri"/>
          <w:sz w:val="24"/>
          <w:szCs w:val="24"/>
        </w:rPr>
        <w:t>ms is available</w:t>
      </w:r>
      <w:r w:rsidR="00D14C00">
        <w:rPr>
          <w:rFonts w:ascii="Calibri" w:hAnsi="Calibri" w:cs="Calibri"/>
          <w:sz w:val="24"/>
          <w:szCs w:val="24"/>
        </w:rPr>
        <w:t>.  If the TDM programs change behavior substantially, then presumably the 70% becomes a much lower number; if a TDM program has no impact whatsoever, then presumably the 70% becomes 100%.</w:t>
      </w:r>
    </w:p>
    <w:p w14:paraId="271FC9CC" w14:textId="77777777" w:rsidR="00A37C03" w:rsidRPr="00C30708" w:rsidRDefault="00A37C03" w:rsidP="00C30708">
      <w:pPr>
        <w:ind w:firstLine="720"/>
        <w:rPr>
          <w:rFonts w:ascii="Calibri" w:hAnsi="Calibri" w:cs="Calibri"/>
          <w:sz w:val="24"/>
          <w:szCs w:val="24"/>
        </w:rPr>
      </w:pPr>
    </w:p>
    <w:p w14:paraId="7852C2DE" w14:textId="4E9E44A2" w:rsidR="009F676F" w:rsidRPr="00C30708" w:rsidRDefault="009F676F" w:rsidP="00C30708">
      <w:pPr>
        <w:ind w:firstLine="720"/>
        <w:rPr>
          <w:rFonts w:ascii="Calibri" w:hAnsi="Calibri" w:cs="Calibri"/>
          <w:sz w:val="24"/>
          <w:szCs w:val="24"/>
        </w:rPr>
      </w:pPr>
      <w:r w:rsidRPr="00C30708">
        <w:rPr>
          <w:rFonts w:ascii="Calibri" w:hAnsi="Calibri" w:cs="Calibri"/>
          <w:sz w:val="24"/>
          <w:szCs w:val="24"/>
        </w:rPr>
        <w:t xml:space="preserve">For the </w:t>
      </w:r>
      <w:r w:rsidR="00FC3F71" w:rsidRPr="00C30708">
        <w:rPr>
          <w:rFonts w:ascii="Calibri" w:hAnsi="Calibri" w:cs="Calibri"/>
          <w:sz w:val="24"/>
          <w:szCs w:val="24"/>
        </w:rPr>
        <w:t>last</w:t>
      </w:r>
      <w:r w:rsidRPr="00C30708">
        <w:rPr>
          <w:rFonts w:ascii="Calibri" w:hAnsi="Calibri" w:cs="Calibri"/>
          <w:sz w:val="24"/>
          <w:szCs w:val="24"/>
        </w:rPr>
        <w:t xml:space="preserve"> attribute—the average daily cost for long-term parking—the team hypothesized that this cost would have some relationship with a data element available from the Smart Location database:  attribute D1D, which is the “gross activity density” (defined by EPA as the sum of employment plus households) on unprotected land.  Gross activity densities for two areas in Northern </w:t>
      </w:r>
      <w:proofErr w:type="gramStart"/>
      <w:r w:rsidRPr="00C30708">
        <w:rPr>
          <w:rFonts w:ascii="Calibri" w:hAnsi="Calibri" w:cs="Calibri"/>
          <w:sz w:val="24"/>
          <w:szCs w:val="24"/>
        </w:rPr>
        <w:t>Virginia—</w:t>
      </w:r>
      <w:proofErr w:type="gramEnd"/>
      <w:r w:rsidRPr="00C30708">
        <w:rPr>
          <w:rFonts w:ascii="Calibri" w:hAnsi="Calibri" w:cs="Calibri"/>
          <w:sz w:val="24"/>
          <w:szCs w:val="24"/>
        </w:rPr>
        <w:t xml:space="preserve">Ballston (left) and North Springfield (right) are shown in Figure 1.  Then, monthly parking prices were obtained for these two areas from Spothero on April 21, </w:t>
      </w:r>
      <w:proofErr w:type="gramStart"/>
      <w:r w:rsidRPr="00C30708">
        <w:rPr>
          <w:rFonts w:ascii="Calibri" w:hAnsi="Calibri" w:cs="Calibri"/>
          <w:sz w:val="24"/>
          <w:szCs w:val="24"/>
        </w:rPr>
        <w:t>2026</w:t>
      </w:r>
      <w:proofErr w:type="gramEnd"/>
      <w:r w:rsidRPr="00C30708">
        <w:rPr>
          <w:rFonts w:ascii="Calibri" w:hAnsi="Calibri" w:cs="Calibri"/>
          <w:sz w:val="24"/>
          <w:szCs w:val="24"/>
        </w:rPr>
        <w:t xml:space="preserve"> for the month beginning May 1, 2026.  </w:t>
      </w:r>
      <w:r w:rsidR="000B1E60" w:rsidRPr="00C30708">
        <w:rPr>
          <w:rFonts w:ascii="Calibri" w:hAnsi="Calibri" w:cs="Calibri"/>
          <w:sz w:val="24"/>
          <w:szCs w:val="24"/>
        </w:rPr>
        <w:t>For Ballston, a wide range of prices was chosen, but the research team selected the lowest one ($124) and for North Springfield, no parking was shown (which was to be expected as there is ample parking along the street free of charge).</w:t>
      </w:r>
      <w:r w:rsidRPr="00C30708">
        <w:rPr>
          <w:rFonts w:ascii="Calibri" w:hAnsi="Calibri" w:cs="Calibri"/>
          <w:sz w:val="24"/>
          <w:szCs w:val="24"/>
        </w:rPr>
        <w:t xml:space="preserve"> </w:t>
      </w:r>
    </w:p>
    <w:p w14:paraId="2554969E" w14:textId="77777777" w:rsidR="009F676F" w:rsidRDefault="009F676F" w:rsidP="009F676F">
      <w:pPr>
        <w:rPr>
          <w:rFonts w:ascii="Calibri" w:hAnsi="Calibri" w:cs="Calibri"/>
          <w:sz w:val="24"/>
          <w:szCs w:val="24"/>
        </w:rPr>
      </w:pPr>
    </w:p>
    <w:p w14:paraId="1CD1BAA7" w14:textId="1EF3CC15" w:rsidR="009F676F" w:rsidRDefault="009D7F3D" w:rsidP="009F676F">
      <w:pPr>
        <w:rPr>
          <w:rFonts w:ascii="Calibri" w:hAnsi="Calibri" w:cs="Calibri"/>
          <w:sz w:val="24"/>
          <w:szCs w:val="24"/>
        </w:rPr>
      </w:pPr>
      <w:r w:rsidRPr="009D7F3D">
        <w:rPr>
          <w:noProof/>
        </w:rPr>
        <w:lastRenderedPageBreak/>
        <w:drawing>
          <wp:inline distT="0" distB="0" distL="0" distR="0" wp14:anchorId="242D45B6" wp14:editId="30ADB11A">
            <wp:extent cx="2654128" cy="2047875"/>
            <wp:effectExtent l="0" t="0" r="0" b="0"/>
            <wp:docPr id="213759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97439" name=""/>
                    <pic:cNvPicPr/>
                  </pic:nvPicPr>
                  <pic:blipFill>
                    <a:blip r:embed="rId10"/>
                    <a:stretch>
                      <a:fillRect/>
                    </a:stretch>
                  </pic:blipFill>
                  <pic:spPr>
                    <a:xfrm>
                      <a:off x="0" y="0"/>
                      <a:ext cx="2657413" cy="2050409"/>
                    </a:xfrm>
                    <a:prstGeom prst="rect">
                      <a:avLst/>
                    </a:prstGeom>
                  </pic:spPr>
                </pic:pic>
              </a:graphicData>
            </a:graphic>
          </wp:inline>
        </w:drawing>
      </w:r>
      <w:r w:rsidR="009F676F" w:rsidRPr="009F676F">
        <w:rPr>
          <w:noProof/>
        </w:rPr>
        <w:t xml:space="preserve"> </w:t>
      </w:r>
      <w:r w:rsidRPr="009D7F3D">
        <w:rPr>
          <w:noProof/>
        </w:rPr>
        <w:drawing>
          <wp:inline distT="0" distB="0" distL="0" distR="0" wp14:anchorId="09E911BB" wp14:editId="64514233">
            <wp:extent cx="2867025" cy="1925346"/>
            <wp:effectExtent l="0" t="0" r="0" b="0"/>
            <wp:docPr id="54805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53845" name=""/>
                    <pic:cNvPicPr/>
                  </pic:nvPicPr>
                  <pic:blipFill>
                    <a:blip r:embed="rId11"/>
                    <a:stretch>
                      <a:fillRect/>
                    </a:stretch>
                  </pic:blipFill>
                  <pic:spPr>
                    <a:xfrm>
                      <a:off x="0" y="0"/>
                      <a:ext cx="2868568" cy="1926382"/>
                    </a:xfrm>
                    <a:prstGeom prst="rect">
                      <a:avLst/>
                    </a:prstGeom>
                  </pic:spPr>
                </pic:pic>
              </a:graphicData>
            </a:graphic>
          </wp:inline>
        </w:drawing>
      </w:r>
    </w:p>
    <w:p w14:paraId="09F5473D" w14:textId="2421D499" w:rsidR="009F676F" w:rsidRPr="00D14C00" w:rsidRDefault="009F676F" w:rsidP="009F676F">
      <w:pPr>
        <w:rPr>
          <w:rFonts w:ascii="Calibri" w:hAnsi="Calibri" w:cs="Calibri"/>
          <w:b/>
          <w:bCs/>
          <w:sz w:val="20"/>
          <w:szCs w:val="20"/>
        </w:rPr>
      </w:pPr>
      <w:r w:rsidRPr="00D14C00">
        <w:rPr>
          <w:rFonts w:ascii="Calibri" w:hAnsi="Calibri" w:cs="Calibri"/>
          <w:b/>
          <w:bCs/>
          <w:sz w:val="20"/>
          <w:szCs w:val="20"/>
        </w:rPr>
        <w:t>Figure 1.  Gross Activity Density for Ballston</w:t>
      </w:r>
      <w:r w:rsidR="009D7F3D" w:rsidRPr="00D14C00">
        <w:rPr>
          <w:rFonts w:ascii="Calibri" w:hAnsi="Calibri" w:cs="Calibri"/>
          <w:b/>
          <w:bCs/>
          <w:sz w:val="20"/>
          <w:szCs w:val="20"/>
        </w:rPr>
        <w:t xml:space="preserve"> (left)</w:t>
      </w:r>
      <w:r w:rsidRPr="00D14C00">
        <w:rPr>
          <w:rFonts w:ascii="Calibri" w:hAnsi="Calibri" w:cs="Calibri"/>
          <w:b/>
          <w:bCs/>
          <w:sz w:val="20"/>
          <w:szCs w:val="20"/>
        </w:rPr>
        <w:t xml:space="preserve"> and North Springfield</w:t>
      </w:r>
      <w:r w:rsidR="009D7F3D" w:rsidRPr="00D14C00">
        <w:rPr>
          <w:rFonts w:ascii="Calibri" w:hAnsi="Calibri" w:cs="Calibri"/>
          <w:b/>
          <w:bCs/>
          <w:sz w:val="20"/>
          <w:szCs w:val="20"/>
        </w:rPr>
        <w:t xml:space="preserve"> (right)</w:t>
      </w:r>
    </w:p>
    <w:p w14:paraId="26C3EDBB" w14:textId="77777777" w:rsidR="000B1E60" w:rsidRDefault="000B1E60" w:rsidP="009F676F">
      <w:pPr>
        <w:rPr>
          <w:rFonts w:ascii="Calibri" w:hAnsi="Calibri" w:cs="Calibri"/>
          <w:sz w:val="24"/>
          <w:szCs w:val="24"/>
        </w:rPr>
      </w:pPr>
    </w:p>
    <w:p w14:paraId="51782599" w14:textId="0185B033" w:rsidR="003B2AF6" w:rsidRDefault="000B1E60" w:rsidP="009F676F">
      <w:pPr>
        <w:rPr>
          <w:rFonts w:ascii="Calibri" w:hAnsi="Calibri" w:cs="Calibri"/>
          <w:sz w:val="24"/>
          <w:szCs w:val="24"/>
        </w:rPr>
      </w:pPr>
      <w:r>
        <w:rPr>
          <w:rFonts w:ascii="Calibri" w:hAnsi="Calibri" w:cs="Calibri"/>
          <w:sz w:val="24"/>
          <w:szCs w:val="24"/>
        </w:rPr>
        <w:tab/>
        <w:t>A few other locations provided additional data points.  These were Charlottesville (lowest monthly price of $120), Alexandria (lowest monthly price of $180), Tysons Corner (lowest monthly price of $90), Norfolk near Granby Street (lowest monthly price of $77), and Richmond (lowest monthly price of $123 near the state Capitol).</w:t>
      </w:r>
      <w:r w:rsidR="003B2AF6">
        <w:rPr>
          <w:rFonts w:ascii="Calibri" w:hAnsi="Calibri" w:cs="Calibri"/>
          <w:sz w:val="24"/>
          <w:szCs w:val="24"/>
        </w:rPr>
        <w:t xml:space="preserve">  Table 1 shows a rough view of these monthly prices, ranges of gross activity densities near these locations, and an estimated daily price based on dividing the monthly price by 20 working days and rounding to the nearest dollar.</w:t>
      </w:r>
    </w:p>
    <w:p w14:paraId="7F87E4A5" w14:textId="77777777" w:rsidR="000B1E60" w:rsidRDefault="000B1E60" w:rsidP="009F676F">
      <w:pPr>
        <w:rPr>
          <w:rFonts w:ascii="Calibri" w:hAnsi="Calibri" w:cs="Calibri"/>
          <w:sz w:val="24"/>
          <w:szCs w:val="24"/>
        </w:rPr>
      </w:pPr>
    </w:p>
    <w:p w14:paraId="1CBDF596" w14:textId="2ADAC237" w:rsidR="003B2AF6" w:rsidRPr="003B2AF6" w:rsidRDefault="003B2AF6" w:rsidP="009F676F">
      <w:pPr>
        <w:rPr>
          <w:rFonts w:ascii="Calibri" w:hAnsi="Calibri" w:cs="Calibri"/>
          <w:b/>
          <w:bCs/>
          <w:sz w:val="20"/>
          <w:szCs w:val="20"/>
        </w:rPr>
      </w:pPr>
      <w:r w:rsidRPr="003B2AF6">
        <w:rPr>
          <w:rFonts w:ascii="Calibri" w:hAnsi="Calibri" w:cs="Calibri"/>
          <w:b/>
          <w:bCs/>
          <w:sz w:val="20"/>
          <w:szCs w:val="20"/>
        </w:rPr>
        <w:t>Table 1.  Sampled Monthly Parking Prices and Gross Activity Densities</w:t>
      </w:r>
    </w:p>
    <w:tbl>
      <w:tblPr>
        <w:tblStyle w:val="TableGrid"/>
        <w:tblW w:w="0" w:type="auto"/>
        <w:tblLook w:val="04A0" w:firstRow="1" w:lastRow="0" w:firstColumn="1" w:lastColumn="0" w:noHBand="0" w:noVBand="1"/>
      </w:tblPr>
      <w:tblGrid>
        <w:gridCol w:w="2756"/>
        <w:gridCol w:w="2528"/>
        <w:gridCol w:w="2130"/>
      </w:tblGrid>
      <w:tr w:rsidR="000B1E60" w14:paraId="482CC986" w14:textId="77777777" w:rsidTr="003B2AF6">
        <w:tc>
          <w:tcPr>
            <w:tcW w:w="2756" w:type="dxa"/>
          </w:tcPr>
          <w:p w14:paraId="67F92889" w14:textId="17C04F8F" w:rsidR="000B1E60" w:rsidRPr="003B2AF6" w:rsidRDefault="000B1E60" w:rsidP="009F676F">
            <w:pPr>
              <w:rPr>
                <w:rFonts w:asciiTheme="majorHAnsi" w:hAnsiTheme="majorHAnsi" w:cstheme="majorHAnsi"/>
                <w:b/>
                <w:bCs/>
                <w:sz w:val="20"/>
                <w:szCs w:val="20"/>
              </w:rPr>
            </w:pPr>
            <w:r w:rsidRPr="003B2AF6">
              <w:rPr>
                <w:rFonts w:asciiTheme="majorHAnsi" w:hAnsiTheme="majorHAnsi" w:cstheme="majorHAnsi"/>
                <w:b/>
                <w:bCs/>
                <w:sz w:val="20"/>
                <w:szCs w:val="20"/>
              </w:rPr>
              <w:t>Location</w:t>
            </w:r>
          </w:p>
        </w:tc>
        <w:tc>
          <w:tcPr>
            <w:tcW w:w="2528" w:type="dxa"/>
          </w:tcPr>
          <w:p w14:paraId="5C94FEBD" w14:textId="592DC12F" w:rsidR="000B1E60" w:rsidRPr="003B2AF6" w:rsidRDefault="000B1E60" w:rsidP="009F676F">
            <w:pPr>
              <w:rPr>
                <w:rFonts w:asciiTheme="majorHAnsi" w:hAnsiTheme="majorHAnsi" w:cstheme="majorHAnsi"/>
                <w:b/>
                <w:bCs/>
                <w:sz w:val="20"/>
                <w:szCs w:val="20"/>
              </w:rPr>
            </w:pPr>
            <w:r w:rsidRPr="003B2AF6">
              <w:rPr>
                <w:rFonts w:asciiTheme="majorHAnsi" w:hAnsiTheme="majorHAnsi" w:cstheme="majorHAnsi"/>
                <w:b/>
                <w:bCs/>
                <w:sz w:val="20"/>
                <w:szCs w:val="20"/>
              </w:rPr>
              <w:t>Monthly price</w:t>
            </w:r>
            <w:r w:rsidR="003B2AF6" w:rsidRPr="003B2AF6">
              <w:rPr>
                <w:rFonts w:asciiTheme="majorHAnsi" w:hAnsiTheme="majorHAnsi" w:cstheme="majorHAnsi"/>
                <w:b/>
                <w:bCs/>
                <w:sz w:val="20"/>
                <w:szCs w:val="20"/>
              </w:rPr>
              <w:t xml:space="preserve"> (Daily price)</w:t>
            </w:r>
          </w:p>
        </w:tc>
        <w:tc>
          <w:tcPr>
            <w:tcW w:w="2130" w:type="dxa"/>
          </w:tcPr>
          <w:p w14:paraId="5AFD72DF" w14:textId="18BB7352" w:rsidR="000B1E60" w:rsidRPr="003B2AF6" w:rsidRDefault="000B1E60" w:rsidP="009F676F">
            <w:pPr>
              <w:rPr>
                <w:rFonts w:asciiTheme="majorHAnsi" w:hAnsiTheme="majorHAnsi" w:cstheme="majorHAnsi"/>
                <w:b/>
                <w:bCs/>
                <w:sz w:val="20"/>
                <w:szCs w:val="20"/>
              </w:rPr>
            </w:pPr>
            <w:r w:rsidRPr="003B2AF6">
              <w:rPr>
                <w:rFonts w:asciiTheme="majorHAnsi" w:hAnsiTheme="majorHAnsi" w:cstheme="majorHAnsi"/>
                <w:b/>
                <w:bCs/>
                <w:sz w:val="20"/>
                <w:szCs w:val="20"/>
              </w:rPr>
              <w:t>Gross Activity Density</w:t>
            </w:r>
          </w:p>
        </w:tc>
      </w:tr>
      <w:tr w:rsidR="009D7F3D" w14:paraId="21E6B298" w14:textId="77777777" w:rsidTr="003B2AF6">
        <w:tc>
          <w:tcPr>
            <w:tcW w:w="2756" w:type="dxa"/>
          </w:tcPr>
          <w:p w14:paraId="073FF7C8" w14:textId="2A634D6E"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Alexandria (near Old Town)</w:t>
            </w:r>
          </w:p>
        </w:tc>
        <w:tc>
          <w:tcPr>
            <w:tcW w:w="2528" w:type="dxa"/>
          </w:tcPr>
          <w:p w14:paraId="3C1176E8" w14:textId="3E9E424A"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$180 ($9)</w:t>
            </w:r>
          </w:p>
        </w:tc>
        <w:tc>
          <w:tcPr>
            <w:tcW w:w="2130" w:type="dxa"/>
          </w:tcPr>
          <w:p w14:paraId="050B69CE" w14:textId="5861D5BE" w:rsidR="009D7F3D" w:rsidRDefault="009D7F3D" w:rsidP="009D7F3D">
            <w:pPr>
              <w:rPr>
                <w:rFonts w:asciiTheme="majorHAnsi" w:hAnsiTheme="majorHAnsi" w:cstheme="majorHAnsi"/>
                <w:sz w:val="20"/>
                <w:szCs w:val="20"/>
              </w:rPr>
            </w:pPr>
            <w:r>
              <w:rPr>
                <w:rFonts w:asciiTheme="majorHAnsi" w:hAnsiTheme="majorHAnsi" w:cstheme="majorHAnsi"/>
                <w:sz w:val="20"/>
                <w:szCs w:val="20"/>
              </w:rPr>
              <w:t>106</w:t>
            </w:r>
          </w:p>
        </w:tc>
      </w:tr>
      <w:tr w:rsidR="009D7F3D" w14:paraId="11DC26D7" w14:textId="77777777" w:rsidTr="003B2AF6">
        <w:tc>
          <w:tcPr>
            <w:tcW w:w="2756" w:type="dxa"/>
          </w:tcPr>
          <w:p w14:paraId="2A5E31E2" w14:textId="727F1E28"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Ballston</w:t>
            </w:r>
          </w:p>
        </w:tc>
        <w:tc>
          <w:tcPr>
            <w:tcW w:w="2528" w:type="dxa"/>
          </w:tcPr>
          <w:p w14:paraId="7AAC7B92" w14:textId="11B4D5D3"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$124 ($6)</w:t>
            </w:r>
          </w:p>
        </w:tc>
        <w:tc>
          <w:tcPr>
            <w:tcW w:w="2130" w:type="dxa"/>
          </w:tcPr>
          <w:p w14:paraId="460D9363" w14:textId="617BCBB4" w:rsidR="009D7F3D" w:rsidRDefault="009D7F3D" w:rsidP="009D7F3D">
            <w:pPr>
              <w:rPr>
                <w:rFonts w:asciiTheme="majorHAnsi" w:hAnsiTheme="majorHAnsi" w:cstheme="majorHAnsi"/>
                <w:sz w:val="20"/>
                <w:szCs w:val="20"/>
              </w:rPr>
            </w:pPr>
            <w:r>
              <w:rPr>
                <w:rFonts w:asciiTheme="majorHAnsi" w:hAnsiTheme="majorHAnsi" w:cstheme="majorHAnsi"/>
                <w:sz w:val="20"/>
                <w:szCs w:val="20"/>
              </w:rPr>
              <w:t>224</w:t>
            </w:r>
          </w:p>
        </w:tc>
      </w:tr>
      <w:tr w:rsidR="009D7F3D" w14:paraId="5D63D7D7" w14:textId="77777777" w:rsidTr="003B2AF6">
        <w:tc>
          <w:tcPr>
            <w:tcW w:w="2756" w:type="dxa"/>
          </w:tcPr>
          <w:p w14:paraId="45CAD2D5" w14:textId="659661A1"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Richmond (near State Capitol)</w:t>
            </w:r>
          </w:p>
        </w:tc>
        <w:tc>
          <w:tcPr>
            <w:tcW w:w="2528" w:type="dxa"/>
          </w:tcPr>
          <w:p w14:paraId="11070F39" w14:textId="552C4304"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$123 ($6)</w:t>
            </w:r>
          </w:p>
        </w:tc>
        <w:tc>
          <w:tcPr>
            <w:tcW w:w="2130" w:type="dxa"/>
          </w:tcPr>
          <w:p w14:paraId="56DFA904" w14:textId="1E13CF04" w:rsidR="009D7F3D" w:rsidRDefault="009D7F3D" w:rsidP="009D7F3D">
            <w:pPr>
              <w:rPr>
                <w:rFonts w:asciiTheme="majorHAnsi" w:hAnsiTheme="majorHAnsi" w:cstheme="majorHAnsi"/>
                <w:sz w:val="20"/>
                <w:szCs w:val="20"/>
              </w:rPr>
            </w:pPr>
            <w:r>
              <w:rPr>
                <w:rFonts w:asciiTheme="majorHAnsi" w:hAnsiTheme="majorHAnsi" w:cstheme="majorHAnsi"/>
                <w:sz w:val="20"/>
                <w:szCs w:val="20"/>
              </w:rPr>
              <w:t>90</w:t>
            </w:r>
          </w:p>
        </w:tc>
      </w:tr>
      <w:tr w:rsidR="009D7F3D" w14:paraId="19F904B8" w14:textId="77777777" w:rsidTr="003B2AF6">
        <w:tc>
          <w:tcPr>
            <w:tcW w:w="2756" w:type="dxa"/>
          </w:tcPr>
          <w:p w14:paraId="5E951A2E" w14:textId="77777777"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 xml:space="preserve">Charlottesville </w:t>
            </w:r>
          </w:p>
          <w:p w14:paraId="5A5C47B1" w14:textId="191A41C9"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(near the Downtown Mall)</w:t>
            </w:r>
          </w:p>
        </w:tc>
        <w:tc>
          <w:tcPr>
            <w:tcW w:w="2528" w:type="dxa"/>
          </w:tcPr>
          <w:p w14:paraId="2137436B" w14:textId="1F5A8527"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$120 ($6)</w:t>
            </w:r>
          </w:p>
        </w:tc>
        <w:tc>
          <w:tcPr>
            <w:tcW w:w="2130" w:type="dxa"/>
          </w:tcPr>
          <w:p w14:paraId="60222BD9" w14:textId="6EB2E76E" w:rsidR="009D7F3D" w:rsidRDefault="009D7F3D" w:rsidP="009D7F3D">
            <w:pPr>
              <w:rPr>
                <w:rFonts w:asciiTheme="majorHAnsi" w:hAnsiTheme="majorHAnsi" w:cstheme="majorHAnsi"/>
                <w:sz w:val="20"/>
                <w:szCs w:val="20"/>
              </w:rPr>
            </w:pPr>
            <w:r>
              <w:rPr>
                <w:rFonts w:asciiTheme="majorHAnsi" w:hAnsiTheme="majorHAnsi" w:cstheme="majorHAnsi"/>
                <w:sz w:val="20"/>
                <w:szCs w:val="20"/>
              </w:rPr>
              <w:t>63</w:t>
            </w:r>
          </w:p>
        </w:tc>
      </w:tr>
      <w:tr w:rsidR="009D7F3D" w14:paraId="1B601239" w14:textId="77777777" w:rsidTr="003B2AF6">
        <w:tc>
          <w:tcPr>
            <w:tcW w:w="2756" w:type="dxa"/>
          </w:tcPr>
          <w:p w14:paraId="69E97F83" w14:textId="3495B99E" w:rsidR="009D7F3D" w:rsidRPr="003B2AF6" w:rsidRDefault="009D7F3D" w:rsidP="009D7F3D">
            <w:pPr>
              <w:rPr>
                <w:rFonts w:asciiTheme="majorHAnsi" w:hAnsiTheme="majorHAnsi" w:cstheme="majorHAnsi"/>
                <w:sz w:val="20"/>
                <w:szCs w:val="20"/>
              </w:rPr>
            </w:pPr>
            <w:r>
              <w:rPr>
                <w:rFonts w:asciiTheme="majorHAnsi" w:hAnsiTheme="majorHAnsi" w:cstheme="majorHAnsi"/>
                <w:sz w:val="20"/>
                <w:szCs w:val="20"/>
              </w:rPr>
              <w:t>Virginia Beach</w:t>
            </w:r>
          </w:p>
        </w:tc>
        <w:tc>
          <w:tcPr>
            <w:tcW w:w="2528" w:type="dxa"/>
          </w:tcPr>
          <w:p w14:paraId="3DCDB50F" w14:textId="6EFEBF28" w:rsidR="009D7F3D" w:rsidRPr="003B2AF6" w:rsidRDefault="009D7F3D" w:rsidP="009D7F3D">
            <w:pPr>
              <w:rPr>
                <w:rFonts w:asciiTheme="majorHAnsi" w:hAnsiTheme="majorHAnsi" w:cstheme="majorHAnsi"/>
                <w:sz w:val="20"/>
                <w:szCs w:val="20"/>
              </w:rPr>
            </w:pPr>
            <w:r>
              <w:rPr>
                <w:rFonts w:asciiTheme="majorHAnsi" w:hAnsiTheme="majorHAnsi" w:cstheme="majorHAnsi"/>
                <w:sz w:val="20"/>
                <w:szCs w:val="20"/>
              </w:rPr>
              <w:t>$100 ($5)</w:t>
            </w:r>
          </w:p>
        </w:tc>
        <w:tc>
          <w:tcPr>
            <w:tcW w:w="2130" w:type="dxa"/>
          </w:tcPr>
          <w:p w14:paraId="17A7CC94" w14:textId="3DF85CCA" w:rsidR="009D7F3D" w:rsidRDefault="009D7F3D" w:rsidP="009D7F3D">
            <w:pPr>
              <w:rPr>
                <w:rFonts w:asciiTheme="majorHAnsi" w:hAnsiTheme="majorHAnsi" w:cstheme="majorHAnsi"/>
                <w:sz w:val="20"/>
                <w:szCs w:val="20"/>
              </w:rPr>
            </w:pPr>
            <w:r>
              <w:rPr>
                <w:rFonts w:asciiTheme="majorHAnsi" w:hAnsiTheme="majorHAnsi" w:cstheme="majorHAnsi"/>
                <w:sz w:val="20"/>
                <w:szCs w:val="20"/>
              </w:rPr>
              <w:t>29</w:t>
            </w:r>
          </w:p>
        </w:tc>
      </w:tr>
      <w:tr w:rsidR="009D7F3D" w14:paraId="1D3ABC4F" w14:textId="77777777" w:rsidTr="003B2AF6">
        <w:tc>
          <w:tcPr>
            <w:tcW w:w="2756" w:type="dxa"/>
          </w:tcPr>
          <w:p w14:paraId="0136B501" w14:textId="6E712D4D"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Tysons Corner</w:t>
            </w:r>
          </w:p>
        </w:tc>
        <w:tc>
          <w:tcPr>
            <w:tcW w:w="2528" w:type="dxa"/>
          </w:tcPr>
          <w:p w14:paraId="2ACA96A5" w14:textId="06E3DC10"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$90 ($5)</w:t>
            </w:r>
          </w:p>
        </w:tc>
        <w:tc>
          <w:tcPr>
            <w:tcW w:w="2130" w:type="dxa"/>
          </w:tcPr>
          <w:p w14:paraId="39020305" w14:textId="6E7DF34E" w:rsidR="009D7F3D" w:rsidRDefault="009D7F3D" w:rsidP="009D7F3D">
            <w:pPr>
              <w:rPr>
                <w:rFonts w:asciiTheme="majorHAnsi" w:hAnsiTheme="majorHAnsi" w:cstheme="majorHAnsi"/>
                <w:sz w:val="20"/>
                <w:szCs w:val="20"/>
              </w:rPr>
            </w:pPr>
            <w:r>
              <w:rPr>
                <w:rFonts w:asciiTheme="majorHAnsi" w:hAnsiTheme="majorHAnsi" w:cstheme="majorHAnsi"/>
                <w:sz w:val="20"/>
                <w:szCs w:val="20"/>
              </w:rPr>
              <w:t>93</w:t>
            </w:r>
          </w:p>
        </w:tc>
      </w:tr>
      <w:tr w:rsidR="009D7F3D" w14:paraId="11C54D04" w14:textId="77777777" w:rsidTr="003B2AF6">
        <w:tc>
          <w:tcPr>
            <w:tcW w:w="2756" w:type="dxa"/>
          </w:tcPr>
          <w:p w14:paraId="2C515A10" w14:textId="15CBC968"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Norfolk (near Granby Street)</w:t>
            </w:r>
          </w:p>
        </w:tc>
        <w:tc>
          <w:tcPr>
            <w:tcW w:w="2528" w:type="dxa"/>
          </w:tcPr>
          <w:p w14:paraId="47F8F253" w14:textId="45FA4BEF"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$77 ($4)</w:t>
            </w:r>
          </w:p>
        </w:tc>
        <w:tc>
          <w:tcPr>
            <w:tcW w:w="2130" w:type="dxa"/>
          </w:tcPr>
          <w:p w14:paraId="3475442D" w14:textId="2E3FEFA9" w:rsidR="009D7F3D" w:rsidRDefault="009D7F3D" w:rsidP="009D7F3D">
            <w:pPr>
              <w:rPr>
                <w:rFonts w:asciiTheme="majorHAnsi" w:hAnsiTheme="majorHAnsi" w:cstheme="majorHAnsi"/>
                <w:sz w:val="20"/>
                <w:szCs w:val="20"/>
              </w:rPr>
            </w:pPr>
            <w:r>
              <w:rPr>
                <w:rFonts w:asciiTheme="majorHAnsi" w:hAnsiTheme="majorHAnsi" w:cstheme="majorHAnsi"/>
                <w:sz w:val="20"/>
                <w:szCs w:val="20"/>
              </w:rPr>
              <w:t>21</w:t>
            </w:r>
          </w:p>
        </w:tc>
      </w:tr>
      <w:tr w:rsidR="009D7F3D" w14:paraId="6AF81304" w14:textId="77777777" w:rsidTr="003B2AF6">
        <w:tc>
          <w:tcPr>
            <w:tcW w:w="2756" w:type="dxa"/>
          </w:tcPr>
          <w:p w14:paraId="59283DAF" w14:textId="779403B2"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North Springfield</w:t>
            </w:r>
          </w:p>
        </w:tc>
        <w:tc>
          <w:tcPr>
            <w:tcW w:w="2528" w:type="dxa"/>
          </w:tcPr>
          <w:p w14:paraId="77D35B5B" w14:textId="045EC5AB" w:rsidR="009D7F3D" w:rsidRPr="003B2AF6" w:rsidRDefault="009D7F3D" w:rsidP="009D7F3D">
            <w:pPr>
              <w:rPr>
                <w:rFonts w:asciiTheme="majorHAnsi" w:hAnsiTheme="majorHAnsi" w:cstheme="majorHAnsi"/>
                <w:sz w:val="20"/>
                <w:szCs w:val="20"/>
              </w:rPr>
            </w:pPr>
            <w:r w:rsidRPr="003B2AF6">
              <w:rPr>
                <w:rFonts w:asciiTheme="majorHAnsi" w:hAnsiTheme="majorHAnsi" w:cstheme="majorHAnsi"/>
                <w:sz w:val="20"/>
                <w:szCs w:val="20"/>
              </w:rPr>
              <w:t>$0  ($0)</w:t>
            </w:r>
          </w:p>
        </w:tc>
        <w:tc>
          <w:tcPr>
            <w:tcW w:w="2130" w:type="dxa"/>
          </w:tcPr>
          <w:p w14:paraId="0264AAC6" w14:textId="42D1EA4B" w:rsidR="009D7F3D" w:rsidRDefault="009D7F3D" w:rsidP="009D7F3D">
            <w:pPr>
              <w:rPr>
                <w:rFonts w:asciiTheme="majorHAnsi" w:hAnsiTheme="majorHAnsi" w:cstheme="majorHAnsi"/>
                <w:sz w:val="20"/>
                <w:szCs w:val="20"/>
              </w:rPr>
            </w:pPr>
            <w:r>
              <w:rPr>
                <w:rFonts w:asciiTheme="majorHAnsi" w:hAnsiTheme="majorHAnsi" w:cstheme="majorHAnsi"/>
                <w:sz w:val="20"/>
                <w:szCs w:val="20"/>
              </w:rPr>
              <w:t>3</w:t>
            </w:r>
          </w:p>
        </w:tc>
      </w:tr>
    </w:tbl>
    <w:p w14:paraId="22325593" w14:textId="77777777" w:rsidR="000B1E60" w:rsidRDefault="000B1E60" w:rsidP="009F676F">
      <w:pPr>
        <w:rPr>
          <w:rFonts w:asciiTheme="majorHAnsi" w:hAnsiTheme="majorHAnsi" w:cstheme="majorHAnsi"/>
          <w:sz w:val="24"/>
          <w:szCs w:val="24"/>
        </w:rPr>
      </w:pPr>
    </w:p>
    <w:p w14:paraId="7E41B81F" w14:textId="77777777" w:rsidR="008E600A" w:rsidRDefault="009D7F3D" w:rsidP="009F676F">
      <w:pPr>
        <w:rPr>
          <w:rFonts w:asciiTheme="majorHAnsi" w:hAnsiTheme="majorHAnsi" w:cstheme="majorHAnsi"/>
          <w:sz w:val="24"/>
          <w:szCs w:val="24"/>
        </w:rPr>
      </w:pPr>
      <w:r>
        <w:rPr>
          <w:rFonts w:asciiTheme="majorHAnsi" w:hAnsiTheme="majorHAnsi" w:cstheme="majorHAnsi"/>
          <w:sz w:val="24"/>
          <w:szCs w:val="24"/>
        </w:rPr>
        <w:tab/>
        <w:t xml:space="preserve">Table 1 is instructive:  gross activity density is not the sole indicator of monthly parking price, which is not surprising given that the monthly prices shown were based on rough sampling and the fact that parking markets vary by location.  The approach chosen by the team was </w:t>
      </w:r>
      <w:r w:rsidR="008E600A">
        <w:rPr>
          <w:rFonts w:asciiTheme="majorHAnsi" w:hAnsiTheme="majorHAnsi" w:cstheme="majorHAnsi"/>
          <w:sz w:val="24"/>
          <w:szCs w:val="24"/>
        </w:rPr>
        <w:t>as follows:</w:t>
      </w:r>
    </w:p>
    <w:p w14:paraId="10F18685" w14:textId="4B4D3B81" w:rsidR="008E600A" w:rsidRDefault="008E600A" w:rsidP="008E600A">
      <w:pPr>
        <w:pStyle w:val="ListParagraph"/>
        <w:numPr>
          <w:ilvl w:val="0"/>
          <w:numId w:val="8"/>
        </w:numPr>
        <w:rPr>
          <w:rFonts w:asciiTheme="majorHAnsi" w:hAnsiTheme="majorHAnsi" w:cstheme="majorHAnsi"/>
          <w:sz w:val="24"/>
          <w:szCs w:val="24"/>
        </w:rPr>
      </w:pPr>
      <w:r>
        <w:rPr>
          <w:rFonts w:asciiTheme="majorHAnsi" w:hAnsiTheme="majorHAnsi" w:cstheme="majorHAnsi"/>
          <w:sz w:val="24"/>
          <w:szCs w:val="24"/>
        </w:rPr>
        <w:t xml:space="preserve">For </w:t>
      </w:r>
      <w:r w:rsidRPr="008E600A">
        <w:rPr>
          <w:rFonts w:asciiTheme="majorHAnsi" w:hAnsiTheme="majorHAnsi" w:cstheme="majorHAnsi"/>
          <w:sz w:val="24"/>
          <w:szCs w:val="24"/>
        </w:rPr>
        <w:t xml:space="preserve">areas with a density of 100 or more, the price was set to $9 per day.  </w:t>
      </w:r>
      <w:r w:rsidR="00CA5A02">
        <w:rPr>
          <w:rFonts w:asciiTheme="majorHAnsi" w:hAnsiTheme="majorHAnsi" w:cstheme="majorHAnsi"/>
          <w:sz w:val="24"/>
          <w:szCs w:val="24"/>
        </w:rPr>
        <w:t>This was applicable for 30 bzones.</w:t>
      </w:r>
    </w:p>
    <w:p w14:paraId="33A7A6A2" w14:textId="35BF750B" w:rsidR="003B2AF6" w:rsidRDefault="008E600A" w:rsidP="008E600A">
      <w:pPr>
        <w:pStyle w:val="ListParagraph"/>
        <w:numPr>
          <w:ilvl w:val="0"/>
          <w:numId w:val="8"/>
        </w:numPr>
        <w:rPr>
          <w:rFonts w:asciiTheme="majorHAnsi" w:hAnsiTheme="majorHAnsi" w:cstheme="majorHAnsi"/>
          <w:sz w:val="24"/>
          <w:szCs w:val="24"/>
        </w:rPr>
      </w:pPr>
      <w:r w:rsidRPr="008E600A">
        <w:rPr>
          <w:rFonts w:asciiTheme="majorHAnsi" w:hAnsiTheme="majorHAnsi" w:cstheme="majorHAnsi"/>
          <w:sz w:val="24"/>
          <w:szCs w:val="24"/>
        </w:rPr>
        <w:t xml:space="preserve">For areas ranging from a density of 15 to 99, the price was </w:t>
      </w:r>
      <w:r>
        <w:rPr>
          <w:rFonts w:asciiTheme="majorHAnsi" w:hAnsiTheme="majorHAnsi" w:cstheme="majorHAnsi"/>
          <w:sz w:val="24"/>
          <w:szCs w:val="24"/>
        </w:rPr>
        <w:t>$</w:t>
      </w:r>
      <w:r w:rsidR="00CA5A02">
        <w:rPr>
          <w:rFonts w:asciiTheme="majorHAnsi" w:hAnsiTheme="majorHAnsi" w:cstheme="majorHAnsi"/>
          <w:sz w:val="24"/>
          <w:szCs w:val="24"/>
        </w:rPr>
        <w:t>9</w:t>
      </w:r>
      <w:r>
        <w:rPr>
          <w:rFonts w:asciiTheme="majorHAnsi" w:hAnsiTheme="majorHAnsi" w:cstheme="majorHAnsi"/>
          <w:sz w:val="24"/>
          <w:szCs w:val="24"/>
        </w:rPr>
        <w:t>*(density/</w:t>
      </w:r>
      <w:r w:rsidR="00CA5A02">
        <w:rPr>
          <w:rFonts w:asciiTheme="majorHAnsi" w:hAnsiTheme="majorHAnsi" w:cstheme="majorHAnsi"/>
          <w:sz w:val="24"/>
          <w:szCs w:val="24"/>
        </w:rPr>
        <w:t>100</w:t>
      </w:r>
      <w:r>
        <w:rPr>
          <w:rFonts w:asciiTheme="majorHAnsi" w:hAnsiTheme="majorHAnsi" w:cstheme="majorHAnsi"/>
          <w:sz w:val="24"/>
          <w:szCs w:val="24"/>
        </w:rPr>
        <w:t>) rounded to the nearest dollar.</w:t>
      </w:r>
      <w:r w:rsidR="00CA5A02">
        <w:rPr>
          <w:rFonts w:asciiTheme="majorHAnsi" w:hAnsiTheme="majorHAnsi" w:cstheme="majorHAnsi"/>
          <w:sz w:val="24"/>
          <w:szCs w:val="24"/>
        </w:rPr>
        <w:t xml:space="preserve">  This was applicable for 400 bzones.</w:t>
      </w:r>
    </w:p>
    <w:p w14:paraId="5D79E58E" w14:textId="3EF8B16D" w:rsidR="00B90B8F" w:rsidRDefault="00B90B8F" w:rsidP="00B90B8F">
      <w:pPr>
        <w:pStyle w:val="ListParagraph"/>
        <w:numPr>
          <w:ilvl w:val="0"/>
          <w:numId w:val="8"/>
        </w:numPr>
        <w:rPr>
          <w:rFonts w:asciiTheme="majorHAnsi" w:hAnsiTheme="majorHAnsi" w:cstheme="majorHAnsi"/>
          <w:sz w:val="24"/>
          <w:szCs w:val="24"/>
        </w:rPr>
      </w:pPr>
      <w:r>
        <w:rPr>
          <w:rFonts w:asciiTheme="majorHAnsi" w:hAnsiTheme="majorHAnsi" w:cstheme="majorHAnsi"/>
          <w:sz w:val="24"/>
          <w:szCs w:val="24"/>
        </w:rPr>
        <w:t>For</w:t>
      </w:r>
      <w:r w:rsidRPr="008E600A">
        <w:rPr>
          <w:rFonts w:asciiTheme="majorHAnsi" w:hAnsiTheme="majorHAnsi" w:cstheme="majorHAnsi"/>
          <w:sz w:val="24"/>
          <w:szCs w:val="24"/>
        </w:rPr>
        <w:t xml:space="preserve"> areas where the gross activity density was 15 or below, the price was set to zero.</w:t>
      </w:r>
      <w:r w:rsidR="00CA5A02">
        <w:rPr>
          <w:rFonts w:asciiTheme="majorHAnsi" w:hAnsiTheme="majorHAnsi" w:cstheme="majorHAnsi"/>
          <w:sz w:val="24"/>
          <w:szCs w:val="24"/>
        </w:rPr>
        <w:t xml:space="preserve">  This was applicable for 5533 bzones.</w:t>
      </w:r>
    </w:p>
    <w:p w14:paraId="24975A8F" w14:textId="77777777" w:rsidR="00B90B8F" w:rsidRDefault="00B90B8F" w:rsidP="00B90B8F">
      <w:pPr>
        <w:rPr>
          <w:rFonts w:asciiTheme="majorHAnsi" w:hAnsiTheme="majorHAnsi" w:cstheme="majorHAnsi"/>
          <w:sz w:val="24"/>
          <w:szCs w:val="24"/>
        </w:rPr>
      </w:pPr>
    </w:p>
    <w:p w14:paraId="36E12C1E" w14:textId="58DA5688" w:rsidR="00B90B8F" w:rsidRDefault="00B90B8F" w:rsidP="00B90B8F">
      <w:pPr>
        <w:ind w:firstLine="360"/>
        <w:rPr>
          <w:rFonts w:asciiTheme="majorHAnsi" w:hAnsiTheme="majorHAnsi" w:cstheme="majorHAnsi"/>
          <w:sz w:val="24"/>
          <w:szCs w:val="24"/>
        </w:rPr>
      </w:pPr>
      <w:r>
        <w:rPr>
          <w:rFonts w:asciiTheme="majorHAnsi" w:hAnsiTheme="majorHAnsi" w:cstheme="majorHAnsi"/>
          <w:sz w:val="24"/>
          <w:szCs w:val="24"/>
        </w:rPr>
        <w:t>Not surprisingly, most of the state</w:t>
      </w:r>
      <w:r w:rsidR="00CA5A02">
        <w:rPr>
          <w:rFonts w:asciiTheme="majorHAnsi" w:hAnsiTheme="majorHAnsi" w:cstheme="majorHAnsi"/>
          <w:sz w:val="24"/>
          <w:szCs w:val="24"/>
        </w:rPr>
        <w:t>’s bzones (5533/5963 or 93%) offer free parking</w:t>
      </w:r>
      <w:r w:rsidR="00D14C00">
        <w:rPr>
          <w:rFonts w:asciiTheme="majorHAnsi" w:hAnsiTheme="majorHAnsi" w:cstheme="majorHAnsi"/>
          <w:sz w:val="24"/>
          <w:szCs w:val="24"/>
        </w:rPr>
        <w:t xml:space="preserve"> as shown in Figure 2.</w:t>
      </w:r>
    </w:p>
    <w:p w14:paraId="284DF55A" w14:textId="77777777" w:rsidR="00B90B8F" w:rsidRDefault="00B90B8F" w:rsidP="00B90B8F">
      <w:pPr>
        <w:rPr>
          <w:rFonts w:asciiTheme="majorHAnsi" w:hAnsiTheme="majorHAnsi" w:cstheme="majorHAnsi"/>
          <w:sz w:val="24"/>
          <w:szCs w:val="24"/>
        </w:rPr>
      </w:pPr>
    </w:p>
    <w:p w14:paraId="1B66A5DC" w14:textId="32FA1E34" w:rsidR="00C30708" w:rsidRDefault="00C30708" w:rsidP="00B90B8F">
      <w:pPr>
        <w:rPr>
          <w:rFonts w:asciiTheme="majorHAnsi" w:hAnsiTheme="majorHAnsi" w:cstheme="majorHAnsi"/>
          <w:sz w:val="24"/>
          <w:szCs w:val="24"/>
        </w:rPr>
      </w:pPr>
      <w:r>
        <w:rPr>
          <w:rFonts w:asciiTheme="majorHAnsi" w:hAnsiTheme="majorHAnsi" w:cstheme="majorHAnsi"/>
          <w:sz w:val="24"/>
          <w:szCs w:val="24"/>
        </w:rPr>
        <w:t xml:space="preserve">Forecast year values were </w:t>
      </w:r>
      <w:proofErr w:type="gramStart"/>
      <w:r>
        <w:rPr>
          <w:rFonts w:asciiTheme="majorHAnsi" w:hAnsiTheme="majorHAnsi" w:cstheme="majorHAnsi"/>
          <w:sz w:val="24"/>
          <w:szCs w:val="24"/>
        </w:rPr>
        <w:t>presumed</w:t>
      </w:r>
      <w:proofErr w:type="gramEnd"/>
      <w:r>
        <w:rPr>
          <w:rFonts w:asciiTheme="majorHAnsi" w:hAnsiTheme="majorHAnsi" w:cstheme="majorHAnsi"/>
          <w:sz w:val="24"/>
          <w:szCs w:val="24"/>
        </w:rPr>
        <w:t xml:space="preserve"> to be the same as base year values.</w:t>
      </w:r>
    </w:p>
    <w:p w14:paraId="57EC52B4" w14:textId="58DE5CE4" w:rsidR="00B90B8F" w:rsidRPr="00B90B8F" w:rsidRDefault="00B90B8F" w:rsidP="00B90B8F">
      <w:pPr>
        <w:rPr>
          <w:rFonts w:asciiTheme="majorHAnsi" w:hAnsiTheme="majorHAnsi" w:cstheme="majorHAnsi"/>
          <w:sz w:val="24"/>
          <w:szCs w:val="24"/>
        </w:rPr>
      </w:pPr>
      <w:r w:rsidRPr="00B90B8F">
        <w:rPr>
          <w:rFonts w:asciiTheme="majorHAnsi" w:hAnsiTheme="majorHAnsi" w:cstheme="majorHAnsi"/>
          <w:sz w:val="24"/>
          <w:szCs w:val="24"/>
        </w:rPr>
        <w:lastRenderedPageBreak/>
        <w:drawing>
          <wp:inline distT="0" distB="0" distL="0" distR="0" wp14:anchorId="659E8353" wp14:editId="3B54922F">
            <wp:extent cx="5943600" cy="3259455"/>
            <wp:effectExtent l="0" t="0" r="0" b="0"/>
            <wp:docPr id="116709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6395" name=""/>
                    <pic:cNvPicPr/>
                  </pic:nvPicPr>
                  <pic:blipFill>
                    <a:blip r:embed="rId12"/>
                    <a:stretch>
                      <a:fillRect/>
                    </a:stretch>
                  </pic:blipFill>
                  <pic:spPr>
                    <a:xfrm>
                      <a:off x="0" y="0"/>
                      <a:ext cx="5943600" cy="3259455"/>
                    </a:xfrm>
                    <a:prstGeom prst="rect">
                      <a:avLst/>
                    </a:prstGeom>
                  </pic:spPr>
                </pic:pic>
              </a:graphicData>
            </a:graphic>
          </wp:inline>
        </w:drawing>
      </w:r>
    </w:p>
    <w:p w14:paraId="7756014E" w14:textId="77777777" w:rsidR="003B2AF6" w:rsidRDefault="003B2AF6" w:rsidP="009F676F">
      <w:pPr>
        <w:rPr>
          <w:rFonts w:asciiTheme="majorHAnsi" w:hAnsiTheme="majorHAnsi" w:cstheme="majorHAnsi"/>
          <w:sz w:val="24"/>
          <w:szCs w:val="24"/>
        </w:rPr>
      </w:pPr>
    </w:p>
    <w:p w14:paraId="29DB71E3" w14:textId="61976D11" w:rsidR="003B2AF6" w:rsidRPr="00D14C00" w:rsidRDefault="00CA5A02" w:rsidP="009F676F">
      <w:pPr>
        <w:rPr>
          <w:rFonts w:asciiTheme="majorHAnsi" w:hAnsiTheme="majorHAnsi" w:cstheme="majorHAnsi"/>
          <w:b/>
          <w:bCs/>
          <w:sz w:val="20"/>
          <w:szCs w:val="20"/>
        </w:rPr>
      </w:pPr>
      <w:r w:rsidRPr="00D14C00">
        <w:rPr>
          <w:rFonts w:asciiTheme="majorHAnsi" w:hAnsiTheme="majorHAnsi" w:cstheme="majorHAnsi"/>
          <w:b/>
          <w:bCs/>
          <w:sz w:val="20"/>
          <w:szCs w:val="20"/>
        </w:rPr>
        <w:t>Figure 2.  Most bzones (in yellow, representing 93% of the state) have free parking.</w:t>
      </w:r>
    </w:p>
    <w:p w14:paraId="03ADF960" w14:textId="77777777" w:rsidR="00D14C00" w:rsidRDefault="00D14C00">
      <w:pPr>
        <w:rPr>
          <w:b/>
          <w:bCs/>
        </w:rPr>
      </w:pPr>
    </w:p>
    <w:p w14:paraId="717F8AD5" w14:textId="444477DF" w:rsidR="00CF1617" w:rsidRDefault="00CF1617">
      <w:pPr>
        <w:rPr>
          <w:b/>
          <w:bCs/>
        </w:rPr>
      </w:pPr>
    </w:p>
    <w:p w14:paraId="7BC9DB8B" w14:textId="77777777" w:rsidR="00CF1617" w:rsidRDefault="00CF1617" w:rsidP="00CF1617">
      <w:pPr>
        <w:rPr>
          <w:b/>
          <w:bCs/>
        </w:rPr>
      </w:pPr>
      <w:r>
        <w:rPr>
          <w:b/>
          <w:bCs/>
        </w:rPr>
        <w:t>Scrap Material</w:t>
      </w:r>
    </w:p>
    <w:p w14:paraId="18B6C01F" w14:textId="77777777" w:rsidR="00CF1617" w:rsidRDefault="00CF1617" w:rsidP="00CF1617">
      <w:pPr>
        <w:rPr>
          <w:b/>
          <w:bCs/>
        </w:rPr>
      </w:pPr>
    </w:p>
    <w:p w14:paraId="6F3FACC8" w14:textId="7A81182C" w:rsidR="00CF1617" w:rsidRDefault="00CF1617" w:rsidP="00CF1617">
      <w:pPr>
        <w:pStyle w:val="ListParagraph"/>
        <w:numPr>
          <w:ilvl w:val="0"/>
          <w:numId w:val="7"/>
        </w:numPr>
      </w:pPr>
      <w:r w:rsidRPr="00CF1617">
        <w:t>Develop</w:t>
      </w:r>
      <w:r>
        <w:t xml:space="preserve"> “InitialParking” based on master block groups</w:t>
      </w:r>
    </w:p>
    <w:p w14:paraId="62F96611" w14:textId="1243F09D" w:rsidR="00864F25" w:rsidRDefault="00864F25" w:rsidP="00864F25">
      <w:pPr>
        <w:pStyle w:val="ListParagraph"/>
        <w:ind w:left="360"/>
      </w:pPr>
      <w:r w:rsidRPr="005D3CD0">
        <w:rPr>
          <w:b/>
          <w:bCs/>
          <w:noProof/>
        </w:rPr>
        <w:drawing>
          <wp:inline distT="0" distB="0" distL="0" distR="0" wp14:anchorId="537264D1" wp14:editId="66927F17">
            <wp:extent cx="1524213" cy="1914792"/>
            <wp:effectExtent l="0" t="0" r="0" b="0"/>
            <wp:docPr id="210017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051" name=""/>
                    <pic:cNvPicPr/>
                  </pic:nvPicPr>
                  <pic:blipFill>
                    <a:blip r:embed="rId13"/>
                    <a:stretch>
                      <a:fillRect/>
                    </a:stretch>
                  </pic:blipFill>
                  <pic:spPr>
                    <a:xfrm>
                      <a:off x="0" y="0"/>
                      <a:ext cx="1524213" cy="1914792"/>
                    </a:xfrm>
                    <a:prstGeom prst="rect">
                      <a:avLst/>
                    </a:prstGeom>
                  </pic:spPr>
                </pic:pic>
              </a:graphicData>
            </a:graphic>
          </wp:inline>
        </w:drawing>
      </w:r>
    </w:p>
    <w:p w14:paraId="3E245E20" w14:textId="77777777" w:rsidR="00864F25" w:rsidRDefault="00864F25" w:rsidP="00864F25">
      <w:pPr>
        <w:pStyle w:val="ListParagraph"/>
        <w:ind w:left="360"/>
      </w:pPr>
    </w:p>
    <w:p w14:paraId="3E12C790" w14:textId="77777777" w:rsidR="00CF1617" w:rsidRDefault="00CF1617" w:rsidP="00CF1617">
      <w:pPr>
        <w:pStyle w:val="ListParagraph"/>
        <w:numPr>
          <w:ilvl w:val="0"/>
          <w:numId w:val="7"/>
        </w:numPr>
      </w:pPr>
      <w:r>
        <w:t>I did not like the spatial join which created “Parking”</w:t>
      </w:r>
    </w:p>
    <w:p w14:paraId="0275D355" w14:textId="4954F0E4" w:rsidR="00864F25" w:rsidRDefault="00864F25" w:rsidP="00864F25">
      <w:pPr>
        <w:pStyle w:val="ListParagraph"/>
      </w:pPr>
      <w:r w:rsidRPr="005D3CD0">
        <w:rPr>
          <w:b/>
          <w:bCs/>
          <w:noProof/>
        </w:rPr>
        <w:drawing>
          <wp:inline distT="0" distB="0" distL="0" distR="0" wp14:anchorId="2C968B35" wp14:editId="4F5D9DD7">
            <wp:extent cx="699118" cy="1362075"/>
            <wp:effectExtent l="0" t="0" r="6350" b="0"/>
            <wp:docPr id="190435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57839" name=""/>
                    <pic:cNvPicPr/>
                  </pic:nvPicPr>
                  <pic:blipFill>
                    <a:blip r:embed="rId14"/>
                    <a:stretch>
                      <a:fillRect/>
                    </a:stretch>
                  </pic:blipFill>
                  <pic:spPr>
                    <a:xfrm>
                      <a:off x="0" y="0"/>
                      <a:ext cx="702324" cy="1368321"/>
                    </a:xfrm>
                    <a:prstGeom prst="rect">
                      <a:avLst/>
                    </a:prstGeom>
                  </pic:spPr>
                </pic:pic>
              </a:graphicData>
            </a:graphic>
          </wp:inline>
        </w:drawing>
      </w:r>
      <w:r w:rsidRPr="00C3557F">
        <w:rPr>
          <w:b/>
          <w:bCs/>
          <w:noProof/>
        </w:rPr>
        <w:drawing>
          <wp:inline distT="0" distB="0" distL="0" distR="0" wp14:anchorId="5AAA332B" wp14:editId="4CA05336">
            <wp:extent cx="1828800" cy="1386132"/>
            <wp:effectExtent l="0" t="0" r="0" b="5080"/>
            <wp:docPr id="85653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34120" name=""/>
                    <pic:cNvPicPr/>
                  </pic:nvPicPr>
                  <pic:blipFill>
                    <a:blip r:embed="rId15"/>
                    <a:stretch>
                      <a:fillRect/>
                    </a:stretch>
                  </pic:blipFill>
                  <pic:spPr>
                    <a:xfrm>
                      <a:off x="0" y="0"/>
                      <a:ext cx="1832120" cy="1388648"/>
                    </a:xfrm>
                    <a:prstGeom prst="rect">
                      <a:avLst/>
                    </a:prstGeom>
                  </pic:spPr>
                </pic:pic>
              </a:graphicData>
            </a:graphic>
          </wp:inline>
        </w:drawing>
      </w:r>
    </w:p>
    <w:p w14:paraId="5683342F" w14:textId="77777777" w:rsidR="00864F25" w:rsidRDefault="00864F25" w:rsidP="00864F25">
      <w:pPr>
        <w:pStyle w:val="ListParagraph"/>
        <w:ind w:left="360"/>
      </w:pPr>
    </w:p>
    <w:p w14:paraId="252BED9A" w14:textId="77777777" w:rsidR="00CF1617" w:rsidRDefault="00CF1617" w:rsidP="00CF1617">
      <w:pPr>
        <w:pStyle w:val="ListParagraph"/>
        <w:numPr>
          <w:ilvl w:val="0"/>
          <w:numId w:val="7"/>
        </w:numPr>
      </w:pPr>
      <w:r>
        <w:t>I did not like the summarize within which created “ParkingAgain”</w:t>
      </w:r>
    </w:p>
    <w:p w14:paraId="66A1FC00" w14:textId="77777777" w:rsidR="00864F25" w:rsidRDefault="00864F25" w:rsidP="00864F25">
      <w:pPr>
        <w:pStyle w:val="ListParagraph"/>
        <w:ind w:left="360"/>
      </w:pPr>
    </w:p>
    <w:p w14:paraId="1F7887DB" w14:textId="3DB02C13" w:rsidR="00CF1617" w:rsidRDefault="00CF1617" w:rsidP="00CF1617">
      <w:pPr>
        <w:pStyle w:val="ListParagraph"/>
        <w:numPr>
          <w:ilvl w:val="0"/>
          <w:numId w:val="7"/>
        </w:numPr>
      </w:pPr>
      <w:proofErr w:type="gramStart"/>
      <w:r>
        <w:t>Instead</w:t>
      </w:r>
      <w:proofErr w:type="gramEnd"/>
      <w:r>
        <w:t xml:space="preserve"> I did spatial join to create “ParkingRedone” but used closest</w:t>
      </w:r>
      <w:r w:rsidR="00FA477D">
        <w:t xml:space="preserve"> and then largest overlap</w:t>
      </w:r>
      <w:r>
        <w:t xml:space="preserve"> rather than mean.  </w:t>
      </w:r>
      <w:r w:rsidR="00FA477D">
        <w:t>I still did not like that.</w:t>
      </w:r>
    </w:p>
    <w:p w14:paraId="213D2792" w14:textId="77777777" w:rsidR="00864F25" w:rsidRDefault="00864F25" w:rsidP="00864F25">
      <w:pPr>
        <w:pStyle w:val="ListParagraph"/>
      </w:pPr>
    </w:p>
    <w:p w14:paraId="1811C0F5" w14:textId="6894C420" w:rsidR="00FA477D" w:rsidRDefault="00864F25" w:rsidP="00CF1617">
      <w:pPr>
        <w:pStyle w:val="ListParagraph"/>
        <w:numPr>
          <w:ilvl w:val="0"/>
          <w:numId w:val="7"/>
        </w:numPr>
      </w:pPr>
      <w:r>
        <w:t xml:space="preserve">I reprojected everything and then did spatial join with </w:t>
      </w:r>
      <w:r w:rsidR="00D14C00">
        <w:t>overlap</w:t>
      </w:r>
      <w:r>
        <w:t xml:space="preserve"> and that does the trick.  Those are shown on the last page.</w:t>
      </w:r>
    </w:p>
    <w:p w14:paraId="34335649" w14:textId="77777777" w:rsidR="00D14C00" w:rsidRDefault="00D14C00" w:rsidP="00D14C00"/>
    <w:p w14:paraId="3465B870" w14:textId="05DB365E" w:rsidR="00BB5FFC" w:rsidRDefault="00BB5FFC" w:rsidP="005D3CD0">
      <w:pPr>
        <w:rPr>
          <w:rFonts w:ascii="Roboto Mono" w:eastAsia="Roboto Mono" w:hAnsi="Roboto Mono" w:cs="Roboto Mono"/>
          <w:b/>
          <w:bCs/>
          <w:color w:val="188038"/>
          <w:lang w:val="en-US"/>
        </w:rPr>
      </w:pPr>
    </w:p>
    <w:p w14:paraId="451D8ADC" w14:textId="50916C04" w:rsidR="00FA477D" w:rsidRDefault="00FA477D" w:rsidP="00D14C00">
      <w:pPr>
        <w:ind w:firstLine="360"/>
      </w:pPr>
      <w:r w:rsidRPr="00FA477D">
        <w:rPr>
          <w:noProof/>
        </w:rPr>
        <w:drawing>
          <wp:inline distT="0" distB="0" distL="0" distR="0" wp14:anchorId="294C2F21" wp14:editId="177B221C">
            <wp:extent cx="3298571" cy="2858227"/>
            <wp:effectExtent l="0" t="0" r="0" b="0"/>
            <wp:docPr id="142759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91619" name=""/>
                    <pic:cNvPicPr/>
                  </pic:nvPicPr>
                  <pic:blipFill>
                    <a:blip r:embed="rId16"/>
                    <a:stretch>
                      <a:fillRect/>
                    </a:stretch>
                  </pic:blipFill>
                  <pic:spPr>
                    <a:xfrm>
                      <a:off x="0" y="0"/>
                      <a:ext cx="3313195" cy="2870898"/>
                    </a:xfrm>
                    <a:prstGeom prst="rect">
                      <a:avLst/>
                    </a:prstGeom>
                  </pic:spPr>
                </pic:pic>
              </a:graphicData>
            </a:graphic>
          </wp:inline>
        </w:drawing>
      </w:r>
      <w:r w:rsidR="00D14C00">
        <w:t xml:space="preserve">                  </w:t>
      </w:r>
      <w:r w:rsidRPr="00FA477D">
        <w:rPr>
          <w:noProof/>
        </w:rPr>
        <w:drawing>
          <wp:inline distT="0" distB="0" distL="0" distR="0" wp14:anchorId="2E3BDE6B" wp14:editId="13DD0611">
            <wp:extent cx="2114901" cy="3834882"/>
            <wp:effectExtent l="0" t="0" r="0" b="0"/>
            <wp:docPr id="77481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10486" name=""/>
                    <pic:cNvPicPr/>
                  </pic:nvPicPr>
                  <pic:blipFill>
                    <a:blip r:embed="rId17"/>
                    <a:stretch>
                      <a:fillRect/>
                    </a:stretch>
                  </pic:blipFill>
                  <pic:spPr>
                    <a:xfrm>
                      <a:off x="0" y="0"/>
                      <a:ext cx="2122902" cy="3849391"/>
                    </a:xfrm>
                    <a:prstGeom prst="rect">
                      <a:avLst/>
                    </a:prstGeom>
                  </pic:spPr>
                </pic:pic>
              </a:graphicData>
            </a:graphic>
          </wp:inline>
        </w:drawing>
      </w:r>
    </w:p>
    <w:p w14:paraId="1541B79A" w14:textId="77777777" w:rsidR="00864F25" w:rsidRDefault="00864F25"/>
    <w:p w14:paraId="055F8F24" w14:textId="2C54E6F9" w:rsidR="00864F25" w:rsidRDefault="00864F25">
      <w:r>
        <w:t xml:space="preserve">$100 monthly parking Virginia Beach Oceanfront from </w:t>
      </w:r>
      <w:hyperlink r:id="rId18" w:anchor="monthly-parking" w:history="1">
        <w:r w:rsidRPr="00864F25">
          <w:rPr>
            <w:rStyle w:val="Hyperlink"/>
          </w:rPr>
          <w:t>Parking in Virginia Beach - The Complete Guide</w:t>
        </w:r>
      </w:hyperlink>
    </w:p>
    <w:sectPr w:rsidR="00864F25" w:rsidSect="00847FE4">
      <w:footerReference w:type="default" r:id="rId1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7F3DE" w14:textId="77777777" w:rsidR="003B2AF6" w:rsidRDefault="003B2AF6" w:rsidP="003B2AF6">
      <w:pPr>
        <w:spacing w:line="240" w:lineRule="auto"/>
      </w:pPr>
      <w:r>
        <w:separator/>
      </w:r>
    </w:p>
  </w:endnote>
  <w:endnote w:type="continuationSeparator" w:id="0">
    <w:p w14:paraId="73B81CE6" w14:textId="77777777" w:rsidR="003B2AF6" w:rsidRDefault="003B2AF6" w:rsidP="003B2A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908F17-D620-428F-9A5D-AD31788AF13E}"/>
    <w:embedBold r:id="rId2" w:fontKey="{D2580885-2EA2-45F1-A99B-96017853E6ED}"/>
  </w:font>
  <w:font w:name="Roboto Mono">
    <w:charset w:val="00"/>
    <w:family w:val="modern"/>
    <w:pitch w:val="fixed"/>
    <w:sig w:usb0="E00002FF" w:usb1="1000205B" w:usb2="00000020" w:usb3="00000000" w:csb0="0000019F" w:csb1="00000000"/>
    <w:embedBold r:id="rId3" w:fontKey="{15C1782E-1213-49A9-80A0-B75A70ACF06B}"/>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2AEEC682-240C-4151-AC50-8C82AE6A75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366761"/>
      <w:docPartObj>
        <w:docPartGallery w:val="Page Numbers (Bottom of Page)"/>
        <w:docPartUnique/>
      </w:docPartObj>
    </w:sdtPr>
    <w:sdtEndPr>
      <w:rPr>
        <w:noProof/>
      </w:rPr>
    </w:sdtEndPr>
    <w:sdtContent>
      <w:p w14:paraId="51D0C03E" w14:textId="1DEE3265" w:rsidR="003B2AF6" w:rsidRDefault="003B2A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D7E93A" w14:textId="77777777" w:rsidR="003B2AF6" w:rsidRDefault="003B2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79E1F" w14:textId="77777777" w:rsidR="003B2AF6" w:rsidRDefault="003B2AF6" w:rsidP="003B2AF6">
      <w:pPr>
        <w:spacing w:line="240" w:lineRule="auto"/>
      </w:pPr>
      <w:r>
        <w:separator/>
      </w:r>
    </w:p>
  </w:footnote>
  <w:footnote w:type="continuationSeparator" w:id="0">
    <w:p w14:paraId="5E451D67" w14:textId="77777777" w:rsidR="003B2AF6" w:rsidRDefault="003B2AF6" w:rsidP="003B2A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47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980B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447DDF"/>
    <w:multiLevelType w:val="hybridMultilevel"/>
    <w:tmpl w:val="61F0C82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32884C1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41924EE"/>
    <w:multiLevelType w:val="hybridMultilevel"/>
    <w:tmpl w:val="608E8D5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781C87"/>
    <w:multiLevelType w:val="hybridMultilevel"/>
    <w:tmpl w:val="48C63E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6A52122"/>
    <w:multiLevelType w:val="multilevel"/>
    <w:tmpl w:val="FFFFFFFF"/>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F2B123A"/>
    <w:multiLevelType w:val="hybridMultilevel"/>
    <w:tmpl w:val="00F03982"/>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3125546"/>
    <w:multiLevelType w:val="hybridMultilevel"/>
    <w:tmpl w:val="2F0A0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0590541">
    <w:abstractNumId w:val="0"/>
  </w:num>
  <w:num w:numId="2" w16cid:durableId="71318662">
    <w:abstractNumId w:val="1"/>
  </w:num>
  <w:num w:numId="3" w16cid:durableId="316571433">
    <w:abstractNumId w:val="3"/>
  </w:num>
  <w:num w:numId="4" w16cid:durableId="1227572920">
    <w:abstractNumId w:val="6"/>
  </w:num>
  <w:num w:numId="5" w16cid:durableId="808475991">
    <w:abstractNumId w:val="2"/>
  </w:num>
  <w:num w:numId="6" w16cid:durableId="542795416">
    <w:abstractNumId w:val="4"/>
  </w:num>
  <w:num w:numId="7" w16cid:durableId="841697678">
    <w:abstractNumId w:val="7"/>
  </w:num>
  <w:num w:numId="8" w16cid:durableId="224411027">
    <w:abstractNumId w:val="8"/>
  </w:num>
  <w:num w:numId="9" w16cid:durableId="1467358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E05"/>
    <w:rsid w:val="000B1E60"/>
    <w:rsid w:val="0015026B"/>
    <w:rsid w:val="00171CD4"/>
    <w:rsid w:val="001C34D4"/>
    <w:rsid w:val="001D22B5"/>
    <w:rsid w:val="002047E1"/>
    <w:rsid w:val="00257B77"/>
    <w:rsid w:val="002B3494"/>
    <w:rsid w:val="002C0029"/>
    <w:rsid w:val="00357217"/>
    <w:rsid w:val="00394932"/>
    <w:rsid w:val="003B2AF6"/>
    <w:rsid w:val="0056709D"/>
    <w:rsid w:val="005A24FB"/>
    <w:rsid w:val="005D3CD0"/>
    <w:rsid w:val="00701E05"/>
    <w:rsid w:val="007A7B72"/>
    <w:rsid w:val="00832793"/>
    <w:rsid w:val="00847FE4"/>
    <w:rsid w:val="00864F25"/>
    <w:rsid w:val="008E600A"/>
    <w:rsid w:val="00903724"/>
    <w:rsid w:val="009371A9"/>
    <w:rsid w:val="009D7F3D"/>
    <w:rsid w:val="009E64F3"/>
    <w:rsid w:val="009F676F"/>
    <w:rsid w:val="00A31245"/>
    <w:rsid w:val="00A37C03"/>
    <w:rsid w:val="00AE1284"/>
    <w:rsid w:val="00B556B8"/>
    <w:rsid w:val="00B90B8F"/>
    <w:rsid w:val="00BB4383"/>
    <w:rsid w:val="00BB5FFC"/>
    <w:rsid w:val="00C30708"/>
    <w:rsid w:val="00C3557F"/>
    <w:rsid w:val="00CA5A02"/>
    <w:rsid w:val="00CF1617"/>
    <w:rsid w:val="00D14C00"/>
    <w:rsid w:val="00D76A0E"/>
    <w:rsid w:val="00FA477D"/>
    <w:rsid w:val="00FC3F71"/>
    <w:rsid w:val="7006E8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F5850"/>
  <w15:docId w15:val="{28F21255-753E-4794-B51C-5D91CF9A1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F7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BB5FFC"/>
    <w:rPr>
      <w:color w:val="0000FF" w:themeColor="hyperlink"/>
      <w:u w:val="single"/>
    </w:rPr>
  </w:style>
  <w:style w:type="character" w:styleId="UnresolvedMention">
    <w:name w:val="Unresolved Mention"/>
    <w:basedOn w:val="DefaultParagraphFont"/>
    <w:uiPriority w:val="99"/>
    <w:semiHidden/>
    <w:unhideWhenUsed/>
    <w:rsid w:val="00BB5FFC"/>
    <w:rPr>
      <w:color w:val="605E5C"/>
      <w:shd w:val="clear" w:color="auto" w:fill="E1DFDD"/>
    </w:rPr>
  </w:style>
  <w:style w:type="paragraph" w:styleId="ListParagraph">
    <w:name w:val="List Paragraph"/>
    <w:basedOn w:val="Normal"/>
    <w:uiPriority w:val="34"/>
    <w:qFormat/>
    <w:rsid w:val="00A31245"/>
    <w:pPr>
      <w:ind w:left="720"/>
      <w:contextualSpacing/>
    </w:pPr>
  </w:style>
  <w:style w:type="table" w:styleId="TableGrid">
    <w:name w:val="Table Grid"/>
    <w:basedOn w:val="TableNormal"/>
    <w:uiPriority w:val="39"/>
    <w:rsid w:val="000B1E6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2AF6"/>
    <w:pPr>
      <w:tabs>
        <w:tab w:val="center" w:pos="4680"/>
        <w:tab w:val="right" w:pos="9360"/>
      </w:tabs>
      <w:spacing w:line="240" w:lineRule="auto"/>
    </w:pPr>
  </w:style>
  <w:style w:type="character" w:customStyle="1" w:styleId="HeaderChar">
    <w:name w:val="Header Char"/>
    <w:basedOn w:val="DefaultParagraphFont"/>
    <w:link w:val="Header"/>
    <w:uiPriority w:val="99"/>
    <w:rsid w:val="003B2AF6"/>
  </w:style>
  <w:style w:type="paragraph" w:styleId="Footer">
    <w:name w:val="footer"/>
    <w:basedOn w:val="Normal"/>
    <w:link w:val="FooterChar"/>
    <w:uiPriority w:val="99"/>
    <w:unhideWhenUsed/>
    <w:rsid w:val="003B2AF6"/>
    <w:pPr>
      <w:tabs>
        <w:tab w:val="center" w:pos="4680"/>
        <w:tab w:val="right" w:pos="9360"/>
      </w:tabs>
      <w:spacing w:line="240" w:lineRule="auto"/>
    </w:pPr>
  </w:style>
  <w:style w:type="character" w:customStyle="1" w:styleId="FooterChar">
    <w:name w:val="Footer Char"/>
    <w:basedOn w:val="DefaultParagraphFont"/>
    <w:link w:val="Footer"/>
    <w:uiPriority w:val="99"/>
    <w:rsid w:val="003B2AF6"/>
  </w:style>
  <w:style w:type="character" w:styleId="FollowedHyperlink">
    <w:name w:val="FollowedHyperlink"/>
    <w:basedOn w:val="DefaultParagraphFont"/>
    <w:uiPriority w:val="99"/>
    <w:semiHidden/>
    <w:unhideWhenUsed/>
    <w:rsid w:val="00FC3F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prked.com/blog/virginia-beach-parking-guid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visioneval.github.io/docs/model-inputs.html"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virginia.box.com/s/irjud9jhn28x5w6kq0gjz1ytm484wu74" TargetMode="Externa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502</TotalTime>
  <Pages>5</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Miller, John S. (VDOT)</cp:lastModifiedBy>
  <cp:revision>13</cp:revision>
  <dcterms:created xsi:type="dcterms:W3CDTF">2026-04-17T14:16:00Z</dcterms:created>
  <dcterms:modified xsi:type="dcterms:W3CDTF">2026-04-21T19:06:00Z</dcterms:modified>
</cp:coreProperties>
</file>