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9A2151" w:rsidR="002B46CA" w:rsidP="00C02EBC" w:rsidRDefault="002B46CA" w14:paraId="048F276E" w14:textId="2FCA59E7">
      <w:pPr>
        <w:jc w:val="center"/>
        <w:rPr>
          <w:rFonts w:ascii="Calibri" w:hAnsi="Calibri" w:cs="Calibri"/>
          <w:b/>
          <w:bCs/>
        </w:rPr>
      </w:pPr>
      <w:r w:rsidRPr="009A2151">
        <w:rPr>
          <w:rFonts w:ascii="Calibri" w:hAnsi="Calibri" w:cs="Calibri"/>
          <w:b/>
          <w:bCs/>
        </w:rPr>
        <w:t>Bzone_Unprotected_Area.csv</w:t>
      </w:r>
    </w:p>
    <w:p w:rsidRPr="009A2151" w:rsidR="002B46CA" w:rsidP="00C02EBC" w:rsidRDefault="00312CE1" w14:paraId="5DA77F7D" w14:textId="00F10BA4">
      <w:pPr>
        <w:jc w:val="center"/>
        <w:rPr>
          <w:rFonts w:ascii="Calibri" w:hAnsi="Calibri" w:cs="Calibri"/>
          <w:b/>
          <w:bCs/>
        </w:rPr>
      </w:pPr>
      <w:r w:rsidRPr="009A2151">
        <w:rPr>
          <w:rFonts w:ascii="Calibri" w:hAnsi="Calibri" w:cs="Calibri"/>
          <w:b/>
          <w:bCs/>
        </w:rPr>
        <w:t>May 20, 2026</w:t>
      </w:r>
    </w:p>
    <w:p w:rsidRPr="00312CE1" w:rsidR="002B46CA" w:rsidP="00C02EBC" w:rsidRDefault="002B46CA" w14:paraId="08AEA3E0" w14:textId="77777777">
      <w:pPr>
        <w:rPr>
          <w:rFonts w:ascii="Calibri" w:hAnsi="Calibri" w:cs="Calibri"/>
          <w:b/>
          <w:bCs/>
        </w:rPr>
      </w:pPr>
    </w:p>
    <w:p w:rsidRPr="00312CE1" w:rsidR="002B46CA" w:rsidP="00C02EBC" w:rsidRDefault="002B46CA" w14:paraId="3871AA5F" w14:textId="7102F9F4">
      <w:pPr>
        <w:rPr>
          <w:rFonts w:ascii="Calibri" w:hAnsi="Calibri" w:cs="Calibri"/>
          <w:b/>
          <w:bCs/>
        </w:rPr>
      </w:pPr>
      <w:r w:rsidRPr="00312CE1">
        <w:rPr>
          <w:rFonts w:ascii="Calibri" w:hAnsi="Calibri" w:cs="Calibri"/>
          <w:b/>
          <w:bCs/>
        </w:rPr>
        <w:t>Definition</w:t>
      </w:r>
    </w:p>
    <w:p w:rsidRPr="00312CE1" w:rsidR="007B288B" w:rsidP="00C02EBC" w:rsidRDefault="007B288B" w14:paraId="1A03A58B" w14:textId="77777777">
      <w:pPr>
        <w:rPr>
          <w:rFonts w:ascii="Calibri" w:hAnsi="Calibri" w:cs="Calibri"/>
          <w:b/>
          <w:bCs/>
        </w:rPr>
      </w:pPr>
    </w:p>
    <w:p w:rsidRPr="00312CE1" w:rsidR="00B072FF" w:rsidP="00B072FF" w:rsidRDefault="002B46CA" w14:paraId="44E063A9" w14:textId="1094E172">
      <w:pPr>
        <w:ind w:firstLine="720"/>
        <w:rPr>
          <w:rFonts w:ascii="Calibri" w:hAnsi="Calibri" w:cs="Calibri"/>
        </w:rPr>
      </w:pPr>
      <w:r w:rsidRPr="00312CE1">
        <w:rPr>
          <w:rFonts w:ascii="Calibri" w:hAnsi="Calibri" w:cs="Calibri"/>
        </w:rPr>
        <w:t xml:space="preserve">This CSV file has three attributes (UrbanArea, TownArea, and RuralArea) which yield the </w:t>
      </w:r>
      <w:r w:rsidRPr="00312CE1" w:rsidR="00A35C4B">
        <w:rPr>
          <w:rFonts w:ascii="Calibri" w:hAnsi="Calibri" w:cs="Calibri"/>
        </w:rPr>
        <w:t>total area of unprotected (developable) land in each block group</w:t>
      </w:r>
      <w:r w:rsidRPr="00312CE1">
        <w:rPr>
          <w:rFonts w:ascii="Calibri" w:hAnsi="Calibri" w:cs="Calibri"/>
        </w:rPr>
        <w:t xml:space="preserve">, or Bzone, </w:t>
      </w:r>
      <w:r w:rsidRPr="00312CE1" w:rsidR="00A35C4B">
        <w:rPr>
          <w:rFonts w:ascii="Calibri" w:hAnsi="Calibri" w:cs="Calibri"/>
        </w:rPr>
        <w:t xml:space="preserve">in Virginia, categorized </w:t>
      </w:r>
      <w:r w:rsidRPr="00312CE1">
        <w:rPr>
          <w:rFonts w:ascii="Calibri" w:hAnsi="Calibri" w:cs="Calibri"/>
        </w:rPr>
        <w:t>as</w:t>
      </w:r>
      <w:r w:rsidRPr="00312CE1" w:rsidR="00A35C4B">
        <w:rPr>
          <w:rFonts w:ascii="Calibri" w:hAnsi="Calibri" w:cs="Calibri"/>
        </w:rPr>
        <w:t xml:space="preserve"> Urban, Town, </w:t>
      </w:r>
      <w:r w:rsidRPr="00312CE1">
        <w:rPr>
          <w:rFonts w:ascii="Calibri" w:hAnsi="Calibri" w:cs="Calibri"/>
        </w:rPr>
        <w:t xml:space="preserve">or </w:t>
      </w:r>
      <w:r w:rsidRPr="00312CE1" w:rsidR="00A35C4B">
        <w:rPr>
          <w:rFonts w:ascii="Calibri" w:hAnsi="Calibri" w:cs="Calibri"/>
        </w:rPr>
        <w:t xml:space="preserve">Rural. </w:t>
      </w:r>
      <w:r w:rsidRPr="00312CE1">
        <w:rPr>
          <w:rFonts w:ascii="Calibri" w:hAnsi="Calibri" w:cs="Calibri"/>
        </w:rPr>
        <w:t>The units are in acres.</w:t>
      </w:r>
      <w:r w:rsidRPr="00312CE1" w:rsidR="007B288B">
        <w:rPr>
          <w:rFonts w:ascii="Calibri" w:hAnsi="Calibri" w:cs="Calibri"/>
        </w:rPr>
        <w:t xml:space="preserve">  </w:t>
      </w:r>
      <w:r w:rsidRPr="00312CE1" w:rsidR="00B072FF">
        <w:rPr>
          <w:rFonts w:ascii="Calibri" w:hAnsi="Calibri" w:cs="Calibri"/>
        </w:rPr>
        <w:t>These values are shown below for three bzones:   515400010001 (an urban area near Charlottesville’s downtown pedestrian mall), 510030107021 (a suburban area near Route 29 in Albemarle County), and 510030110004 (a rural residential area in Albemarle County).   All acres not protected from development fall into the urban category for the first two zones.  For the rural area, half the unprotected acres are categorized as town and the other half are categorized as rural.</w:t>
      </w:r>
    </w:p>
    <w:p w:rsidRPr="00312CE1" w:rsidR="00B072FF" w:rsidP="00B072FF" w:rsidRDefault="00B072FF" w14:paraId="73C0FF46" w14:textId="77777777">
      <w:pPr>
        <w:tabs>
          <w:tab w:val="num" w:pos="720"/>
        </w:tabs>
        <w:rPr>
          <w:rFonts w:ascii="Calibri" w:hAnsi="Calibri" w:cs="Calibri"/>
        </w:rPr>
      </w:pPr>
    </w:p>
    <w:p w:rsidRPr="00312CE1" w:rsidR="00B072FF" w:rsidP="00B072FF" w:rsidRDefault="00B072FF" w14:paraId="6F5C31B8" w14:textId="21B339E6">
      <w:pPr>
        <w:tabs>
          <w:tab w:val="num" w:pos="720"/>
        </w:tabs>
        <w:rPr>
          <w:rFonts w:ascii="Calibri" w:hAnsi="Calibri" w:cs="Calibri"/>
        </w:rPr>
      </w:pPr>
      <w:r w:rsidRPr="00312CE1">
        <w:rPr>
          <w:rFonts w:ascii="Calibri" w:hAnsi="Calibri" w:cs="Calibri"/>
          <w:noProof/>
        </w:rPr>
        <w:drawing>
          <wp:inline distT="0" distB="0" distL="0" distR="0" wp14:anchorId="7E68D9CD" wp14:editId="17788416">
            <wp:extent cx="2724530" cy="771633"/>
            <wp:effectExtent l="0" t="0" r="0" b="9525"/>
            <wp:docPr id="38502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25359" name=""/>
                    <pic:cNvPicPr/>
                  </pic:nvPicPr>
                  <pic:blipFill>
                    <a:blip r:embed="rId7"/>
                    <a:stretch>
                      <a:fillRect/>
                    </a:stretch>
                  </pic:blipFill>
                  <pic:spPr>
                    <a:xfrm>
                      <a:off x="0" y="0"/>
                      <a:ext cx="2724530" cy="771633"/>
                    </a:xfrm>
                    <a:prstGeom prst="rect">
                      <a:avLst/>
                    </a:prstGeom>
                  </pic:spPr>
                </pic:pic>
              </a:graphicData>
            </a:graphic>
          </wp:inline>
        </w:drawing>
      </w:r>
    </w:p>
    <w:p w:rsidRPr="00312CE1" w:rsidR="00B072FF" w:rsidP="00B072FF" w:rsidRDefault="00B072FF" w14:paraId="0C54D7A4" w14:textId="77777777">
      <w:pPr>
        <w:tabs>
          <w:tab w:val="num" w:pos="720"/>
        </w:tabs>
        <w:rPr>
          <w:rFonts w:ascii="Calibri" w:hAnsi="Calibri" w:cs="Calibri"/>
        </w:rPr>
      </w:pPr>
    </w:p>
    <w:p w:rsidRPr="00312CE1" w:rsidR="00B072FF" w:rsidP="00B072FF" w:rsidRDefault="00B072FF" w14:paraId="3EEC4C31" w14:textId="4E0E0EA6">
      <w:pPr>
        <w:tabs>
          <w:tab w:val="num" w:pos="720"/>
        </w:tabs>
        <w:rPr>
          <w:rFonts w:ascii="Calibri" w:hAnsi="Calibri" w:cs="Calibri"/>
        </w:rPr>
      </w:pPr>
      <w:r w:rsidRPr="00312CE1">
        <w:rPr>
          <w:rFonts w:ascii="Calibri" w:hAnsi="Calibri" w:cs="Calibri"/>
        </w:rPr>
        <w:tab/>
      </w:r>
      <w:r w:rsidRPr="00312CE1">
        <w:rPr>
          <w:rFonts w:ascii="Calibri" w:hAnsi="Calibri" w:cs="Calibri"/>
        </w:rPr>
        <w:t>For year 2045, values are presumed to be the same as for year 2024.</w:t>
      </w:r>
    </w:p>
    <w:p w:rsidRPr="00312CE1" w:rsidR="00B072FF" w:rsidP="00B072FF" w:rsidRDefault="00B072FF" w14:paraId="3A33A7FE" w14:textId="77777777">
      <w:pPr>
        <w:tabs>
          <w:tab w:val="num" w:pos="720"/>
        </w:tabs>
        <w:rPr>
          <w:rFonts w:ascii="Calibri" w:hAnsi="Calibri" w:cs="Calibri"/>
        </w:rPr>
      </w:pPr>
    </w:p>
    <w:p w:rsidRPr="00312CE1" w:rsidR="00B072FF" w:rsidP="00B072FF" w:rsidRDefault="00B072FF" w14:paraId="0A33C075" w14:textId="77777777">
      <w:pPr>
        <w:tabs>
          <w:tab w:val="num" w:pos="720"/>
        </w:tabs>
        <w:rPr>
          <w:rFonts w:ascii="Calibri" w:hAnsi="Calibri" w:cs="Calibri"/>
          <w:b/>
          <w:bCs/>
          <w:noProof/>
        </w:rPr>
      </w:pPr>
      <w:r w:rsidRPr="00312CE1">
        <w:rPr>
          <w:rFonts w:ascii="Calibri" w:hAnsi="Calibri" w:cs="Calibri"/>
          <w:b/>
          <w:bCs/>
          <w:noProof/>
        </w:rPr>
        <w:t>Possible Scenario</w:t>
      </w:r>
    </w:p>
    <w:p w:rsidRPr="00312CE1" w:rsidR="00B072FF" w:rsidP="00B072FF" w:rsidRDefault="00B072FF" w14:paraId="56939BEA" w14:textId="77777777">
      <w:pPr>
        <w:tabs>
          <w:tab w:val="num" w:pos="720"/>
        </w:tabs>
        <w:rPr>
          <w:rFonts w:ascii="Calibri" w:hAnsi="Calibri" w:cs="Calibri"/>
          <w:b/>
          <w:bCs/>
          <w:noProof/>
        </w:rPr>
      </w:pPr>
    </w:p>
    <w:p w:rsidRPr="00312CE1" w:rsidR="00C16017" w:rsidP="00C02EBC" w:rsidRDefault="00B072FF" w14:paraId="7F6E3ACF" w14:textId="4EC0EBB2">
      <w:pPr>
        <w:rPr>
          <w:rFonts w:ascii="Calibri" w:hAnsi="Calibri" w:cs="Calibri"/>
        </w:rPr>
      </w:pPr>
      <w:r w:rsidRPr="00312CE1">
        <w:rPr>
          <w:rFonts w:ascii="Calibri" w:hAnsi="Calibri" w:cs="Calibri"/>
          <w:noProof/>
        </w:rPr>
        <w:tab/>
      </w:r>
      <w:r w:rsidRPr="00312CE1" w:rsidR="00C16017">
        <w:rPr>
          <w:rFonts w:ascii="Calibri" w:hAnsi="Calibri" w:cs="Calibri"/>
          <w:noProof/>
        </w:rPr>
        <w:t>Changing the number of unprotected acres by itself does not have any corresponding scenario.  However, a</w:t>
      </w:r>
      <w:r w:rsidRPr="00312CE1">
        <w:rPr>
          <w:rFonts w:ascii="Calibri" w:hAnsi="Calibri" w:cs="Calibri"/>
          <w:noProof/>
        </w:rPr>
        <w:t xml:space="preserve">s noted in </w:t>
      </w:r>
      <w:r w:rsidRPr="00312CE1">
        <w:rPr>
          <w:rFonts w:ascii="Calibri" w:hAnsi="Calibri" w:cs="Calibri"/>
        </w:rPr>
        <w:t>the document Task 7.2 Simplified Scenario Development guide, available at </w:t>
      </w:r>
      <w:hyperlink w:tgtFrame="_blank" w:history="1" r:id="rId8">
        <w:r w:rsidRPr="00312CE1">
          <w:rPr>
            <w:rStyle w:val="Hyperlink"/>
            <w:rFonts w:ascii="Calibri" w:hAnsi="Calibri" w:cs="Calibri"/>
          </w:rPr>
          <w:t>A Playbook for Simplified Approaches for Creating Scenarios in VisionEval</w:t>
        </w:r>
      </w:hyperlink>
      <w:r w:rsidRPr="00312CE1">
        <w:rPr>
          <w:rFonts w:ascii="Calibri" w:hAnsi="Calibri" w:cs="Calibri"/>
        </w:rPr>
        <w:t xml:space="preserve">, </w:t>
      </w:r>
      <w:r w:rsidRPr="00312CE1" w:rsidR="00C16017">
        <w:rPr>
          <w:rFonts w:ascii="Calibri" w:hAnsi="Calibri" w:cs="Calibri"/>
        </w:rPr>
        <w:t xml:space="preserve">changes to </w:t>
      </w:r>
      <w:r w:rsidRPr="00312CE1">
        <w:rPr>
          <w:rFonts w:ascii="Calibri" w:hAnsi="Calibri" w:cs="Calibri"/>
        </w:rPr>
        <w:t xml:space="preserve">two related files—bzone_network_design.csv and bzone_urban-mixed-use_prop.csv can </w:t>
      </w:r>
      <w:r w:rsidRPr="00312CE1" w:rsidR="00C16017">
        <w:rPr>
          <w:rFonts w:ascii="Calibri" w:hAnsi="Calibri" w:cs="Calibri"/>
        </w:rPr>
        <w:t>help one do the following:  if we make an area more walkable, how does that influence VMT by reducing driving trips and replacing them with walking trips?  This file appears to be necessary for such a question because only urban and town areas, but not rural areas, can be defined as walkable.  Thus, this file is an input required to execute the scenarios described in association with bzone_network_design.csv and bzone_urban-mixed-use</w:t>
      </w:r>
      <w:r w:rsidRPr="00312CE1" w:rsidR="00312CE1">
        <w:rPr>
          <w:rFonts w:ascii="Calibri" w:hAnsi="Calibri" w:cs="Calibri"/>
        </w:rPr>
        <w:t xml:space="preserve"> </w:t>
      </w:r>
      <w:r w:rsidRPr="00312CE1" w:rsidR="00C16017">
        <w:rPr>
          <w:rFonts w:ascii="Calibri" w:hAnsi="Calibri" w:cs="Calibri"/>
        </w:rPr>
        <w:t>prop.csv.</w:t>
      </w:r>
    </w:p>
    <w:p w:rsidRPr="00312CE1" w:rsidR="007B288B" w:rsidP="00C02EBC" w:rsidRDefault="007B288B" w14:paraId="03529DEA" w14:textId="77777777">
      <w:pPr>
        <w:rPr>
          <w:rFonts w:ascii="Calibri" w:hAnsi="Calibri" w:cs="Calibri"/>
        </w:rPr>
      </w:pPr>
    </w:p>
    <w:p w:rsidRPr="00312CE1" w:rsidR="006957F8" w:rsidP="00E1293E" w:rsidRDefault="006957F8" w14:paraId="2C72CCCC" w14:textId="4D4FB7B0">
      <w:pPr>
        <w:rPr>
          <w:rFonts w:ascii="Calibri" w:hAnsi="Calibri" w:cs="Calibri"/>
          <w:b/>
          <w:bCs/>
          <w:color w:val="000000" w:themeColor="text1"/>
        </w:rPr>
      </w:pPr>
      <w:r w:rsidRPr="00312CE1">
        <w:rPr>
          <w:rFonts w:ascii="Calibri" w:hAnsi="Calibri" w:cs="Calibri"/>
          <w:b/>
          <w:bCs/>
          <w:color w:val="000000" w:themeColor="text1"/>
        </w:rPr>
        <w:t>Method Used for Virginia</w:t>
      </w:r>
    </w:p>
    <w:p w:rsidRPr="00312CE1" w:rsidR="006957F8" w:rsidP="00E1293E" w:rsidRDefault="006957F8" w14:paraId="6A24C613" w14:textId="77777777">
      <w:pPr>
        <w:rPr>
          <w:rFonts w:ascii="Calibri" w:hAnsi="Calibri" w:cs="Calibri"/>
          <w:b/>
          <w:bCs/>
          <w:color w:val="000000" w:themeColor="text1"/>
        </w:rPr>
      </w:pPr>
    </w:p>
    <w:p w:rsidRPr="00312CE1" w:rsidR="00AB07A7" w:rsidP="00E927EA" w:rsidRDefault="00AB07A7" w14:paraId="5A3089D8" w14:textId="77777777">
      <w:pPr>
        <w:rPr>
          <w:rFonts w:ascii="Calibri" w:hAnsi="Calibri" w:cs="Calibri"/>
          <w:color w:val="000000" w:themeColor="text1"/>
        </w:rPr>
      </w:pPr>
      <w:r w:rsidRPr="00312CE1">
        <w:rPr>
          <w:rFonts w:ascii="Calibri" w:hAnsi="Calibri" w:cs="Calibri"/>
          <w:color w:val="000000" w:themeColor="text1"/>
        </w:rPr>
        <w:t xml:space="preserve">Three </w:t>
      </w:r>
      <w:r w:rsidRPr="00312CE1" w:rsidR="00E927EA">
        <w:rPr>
          <w:rFonts w:ascii="Calibri" w:hAnsi="Calibri" w:cs="Calibri"/>
          <w:color w:val="000000" w:themeColor="text1"/>
        </w:rPr>
        <w:t xml:space="preserve">different steps are needed:  </w:t>
      </w:r>
    </w:p>
    <w:p w:rsidRPr="00312CE1" w:rsidR="00AB07A7" w:rsidP="00AB07A7" w:rsidRDefault="00AB07A7" w14:paraId="0CB7B5A4" w14:textId="77777777">
      <w:pPr>
        <w:ind w:firstLine="720"/>
        <w:rPr>
          <w:rFonts w:ascii="Calibri" w:hAnsi="Calibri" w:cs="Calibri"/>
          <w:color w:val="000000" w:themeColor="text1"/>
        </w:rPr>
      </w:pPr>
    </w:p>
    <w:p w:rsidRPr="00312CE1" w:rsidR="00AB07A7" w:rsidP="0F0B5A8E" w:rsidRDefault="00AB07A7" w14:paraId="268F26D3" w14:textId="77777777">
      <w:pPr>
        <w:pStyle w:val="ListParagraph"/>
        <w:numPr>
          <w:ilvl w:val="6"/>
          <w:numId w:val="1"/>
        </w:numPr>
        <w:ind w:left="720"/>
        <w:rPr>
          <w:rFonts w:ascii="Calibri" w:hAnsi="Calibri" w:cs="Calibri"/>
          <w:color w:val="000000" w:themeColor="text1"/>
          <w:sz w:val="24"/>
          <w:szCs w:val="24"/>
          <w:lang w:val="en-US"/>
        </w:rPr>
      </w:pPr>
      <w:r w:rsidRPr="00312CE1">
        <w:rPr>
          <w:rFonts w:ascii="Calibri" w:hAnsi="Calibri" w:cs="Calibri"/>
          <w:color w:val="000000" w:themeColor="text1"/>
          <w:sz w:val="24"/>
          <w:szCs w:val="24"/>
          <w:lang w:val="en-US"/>
        </w:rPr>
        <w:t>D</w:t>
      </w:r>
      <w:r w:rsidRPr="00312CE1" w:rsidR="00E927EA">
        <w:rPr>
          <w:rFonts w:ascii="Calibri" w:hAnsi="Calibri" w:cs="Calibri"/>
          <w:color w:val="000000" w:themeColor="text1"/>
          <w:sz w:val="24"/>
          <w:szCs w:val="24"/>
          <w:lang w:val="en-US"/>
        </w:rPr>
        <w:t xml:space="preserve">etermine the total amount of unprotected area for each Bzone </w:t>
      </w:r>
    </w:p>
    <w:p w:rsidRPr="00312CE1" w:rsidR="00AB07A7" w:rsidP="0F0B5A8E" w:rsidRDefault="00AB07A7" w14:paraId="42521008" w14:textId="77777777">
      <w:pPr>
        <w:pStyle w:val="ListParagraph"/>
        <w:numPr>
          <w:ilvl w:val="6"/>
          <w:numId w:val="1"/>
        </w:numPr>
        <w:ind w:left="720"/>
        <w:rPr>
          <w:rFonts w:ascii="Calibri" w:hAnsi="Calibri" w:cs="Calibri"/>
          <w:color w:val="000000" w:themeColor="text1"/>
          <w:sz w:val="24"/>
          <w:szCs w:val="24"/>
          <w:lang w:val="en-US"/>
        </w:rPr>
      </w:pPr>
      <w:r w:rsidRPr="00312CE1">
        <w:rPr>
          <w:rFonts w:ascii="Calibri" w:hAnsi="Calibri" w:cs="Calibri"/>
          <w:color w:val="000000" w:themeColor="text1"/>
          <w:sz w:val="24"/>
          <w:szCs w:val="24"/>
          <w:lang w:val="en-US"/>
        </w:rPr>
        <w:t>D</w:t>
      </w:r>
      <w:r w:rsidRPr="00312CE1" w:rsidR="00E927EA">
        <w:rPr>
          <w:rFonts w:ascii="Calibri" w:hAnsi="Calibri" w:cs="Calibri"/>
          <w:color w:val="000000" w:themeColor="text1"/>
          <w:sz w:val="24"/>
          <w:szCs w:val="24"/>
          <w:lang w:val="en-US"/>
        </w:rPr>
        <w:t xml:space="preserve">etermine </w:t>
      </w:r>
      <w:r w:rsidRPr="00312CE1">
        <w:rPr>
          <w:rFonts w:ascii="Calibri" w:hAnsi="Calibri" w:cs="Calibri"/>
          <w:color w:val="000000" w:themeColor="text1"/>
          <w:sz w:val="24"/>
          <w:szCs w:val="24"/>
          <w:lang w:val="en-US"/>
        </w:rPr>
        <w:t>whether each Bzone is urban, town, rural or some combination thereof</w:t>
      </w:r>
    </w:p>
    <w:p w:rsidRPr="00312CE1" w:rsidR="00AB07A7" w:rsidP="00AB07A7" w:rsidRDefault="00AB07A7" w14:paraId="6A58EFE8" w14:textId="3259705F">
      <w:pPr>
        <w:pStyle w:val="ListParagraph"/>
        <w:numPr>
          <w:ilvl w:val="6"/>
          <w:numId w:val="1"/>
        </w:numPr>
        <w:ind w:left="720"/>
        <w:rPr>
          <w:rFonts w:ascii="Calibri" w:hAnsi="Calibri" w:cs="Calibri"/>
          <w:color w:val="000000" w:themeColor="text1"/>
          <w:sz w:val="24"/>
          <w:szCs w:val="24"/>
        </w:rPr>
      </w:pPr>
      <w:r w:rsidRPr="00312CE1">
        <w:rPr>
          <w:rFonts w:ascii="Calibri" w:hAnsi="Calibri" w:cs="Calibri"/>
          <w:color w:val="000000" w:themeColor="text1"/>
          <w:sz w:val="24"/>
          <w:szCs w:val="24"/>
        </w:rPr>
        <w:t>Combine the results from steps (1) and (2)</w:t>
      </w:r>
    </w:p>
    <w:p w:rsidRPr="00312CE1" w:rsidR="00AB07A7" w:rsidP="00AB07A7" w:rsidRDefault="00AB07A7" w14:paraId="1957B9C9" w14:textId="77777777">
      <w:pPr>
        <w:rPr>
          <w:rFonts w:ascii="Calibri" w:hAnsi="Calibri" w:cs="Calibri"/>
          <w:color w:val="000000" w:themeColor="text1"/>
        </w:rPr>
      </w:pPr>
    </w:p>
    <w:p w:rsidRPr="00312CE1" w:rsidR="00AB07A7" w:rsidP="00AB07A7" w:rsidRDefault="00AB07A7" w14:paraId="64BBBE74" w14:textId="546442C8">
      <w:pPr>
        <w:ind w:firstLine="360"/>
        <w:rPr>
          <w:rFonts w:ascii="Calibri" w:hAnsi="Calibri" w:cs="Calibri"/>
          <w:color w:val="000000" w:themeColor="text1"/>
        </w:rPr>
      </w:pPr>
      <w:r w:rsidRPr="00312CE1">
        <w:rPr>
          <w:rFonts w:ascii="Calibri" w:hAnsi="Calibri" w:cs="Calibri"/>
          <w:color w:val="000000" w:themeColor="text1"/>
        </w:rPr>
        <w:t>Steps 1 and 3 are straightforward, and step 2 requires judgment.</w:t>
      </w:r>
    </w:p>
    <w:p w:rsidRPr="00312CE1" w:rsidR="00B8361C" w:rsidP="00E927EA" w:rsidRDefault="00B8361C" w14:paraId="16882DEC" w14:textId="77777777">
      <w:pPr>
        <w:rPr>
          <w:rFonts w:ascii="Calibri" w:hAnsi="Calibri" w:cs="Calibri"/>
          <w:color w:val="000000" w:themeColor="text1"/>
        </w:rPr>
      </w:pPr>
    </w:p>
    <w:p w:rsidRPr="00312CE1" w:rsidR="00CD530A" w:rsidP="0F0B5A8E" w:rsidRDefault="00CD530A" w14:paraId="6106AE93" w14:textId="3279898C">
      <w:pPr>
        <w:pStyle w:val="ListParagraph"/>
        <w:numPr>
          <w:ilvl w:val="0"/>
          <w:numId w:val="6"/>
        </w:numPr>
        <w:rPr>
          <w:rFonts w:ascii="Calibri" w:hAnsi="Calibri" w:cs="Calibri"/>
          <w:i/>
          <w:iCs/>
          <w:color w:val="000000" w:themeColor="text1"/>
          <w:sz w:val="24"/>
          <w:szCs w:val="24"/>
          <w:lang w:val="en-US"/>
        </w:rPr>
      </w:pPr>
      <w:r w:rsidRPr="00312CE1">
        <w:rPr>
          <w:rFonts w:ascii="Calibri" w:hAnsi="Calibri" w:cs="Calibri"/>
          <w:i/>
          <w:iCs/>
          <w:color w:val="000000" w:themeColor="text1"/>
          <w:sz w:val="24"/>
          <w:szCs w:val="24"/>
          <w:lang w:val="en-US"/>
        </w:rPr>
        <w:t>Determining the Total Amount of Unprotected Area</w:t>
      </w:r>
    </w:p>
    <w:p w:rsidRPr="00312CE1" w:rsidR="00B8361C" w:rsidP="00E927EA" w:rsidRDefault="00B8361C" w14:paraId="6D5A7296" w14:textId="77777777">
      <w:pPr>
        <w:rPr>
          <w:rFonts w:ascii="Calibri" w:hAnsi="Calibri" w:cs="Calibri"/>
          <w:color w:val="000000" w:themeColor="text1"/>
        </w:rPr>
      </w:pPr>
    </w:p>
    <w:p w:rsidR="00312CE1" w:rsidP="00312CE1" w:rsidRDefault="00E927EA" w14:paraId="26E9D2A5" w14:textId="35F4FD97">
      <w:pPr>
        <w:ind w:firstLine="720"/>
        <w:rPr>
          <w:rFonts w:ascii="Calibri" w:hAnsi="Calibri" w:cs="Calibri"/>
          <w:color w:val="000000" w:themeColor="text1"/>
        </w:rPr>
      </w:pPr>
      <w:r w:rsidRPr="00312CE1">
        <w:rPr>
          <w:rFonts w:ascii="Calibri" w:hAnsi="Calibri" w:cs="Calibri"/>
          <w:color w:val="000000" w:themeColor="text1"/>
        </w:rPr>
        <w:t xml:space="preserve">The Smart Location Database has a field called Ac_Unpr which is the “Total land area (acres) that is not protected from development (i.e., not a park, natural area or conservation area).”  GIS processing (in this case, the Summarize Within Tool) was used to get a total amount of unprotected land for each Bzone.  (Rather than </w:t>
      </w:r>
      <w:r w:rsidRPr="00312CE1">
        <w:rPr>
          <w:rFonts w:ascii="Calibri" w:hAnsi="Calibri" w:cs="Calibri"/>
          <w:color w:val="000000" w:themeColor="text1"/>
        </w:rPr>
        <w:t>a spatial join, the summarize within tool was used.  The reason for this was to get the best estimate of the number of acres when accounting for the fact that block group boundaries between the EPA Smart Location Database and those used in Virginia may not align perfectly.)</w:t>
      </w:r>
      <w:r w:rsidRPr="00312CE1" w:rsidR="009F77BE">
        <w:rPr>
          <w:rFonts w:ascii="Calibri" w:hAnsi="Calibri" w:cs="Calibri"/>
          <w:color w:val="000000" w:themeColor="text1"/>
        </w:rPr>
        <w:t xml:space="preserve">  </w:t>
      </w:r>
      <w:r w:rsidR="00312CE1">
        <w:rPr>
          <w:rFonts w:ascii="Calibri" w:hAnsi="Calibri" w:cs="Calibri"/>
          <w:color w:val="000000" w:themeColor="text1"/>
        </w:rPr>
        <w:t xml:space="preserve">For example, that processing showed that bzone </w:t>
      </w:r>
      <w:r w:rsidRPr="00312CE1" w:rsidR="00312CE1">
        <w:rPr>
          <w:rFonts w:ascii="Calibri" w:hAnsi="Calibri" w:cs="Calibri"/>
          <w:color w:val="000000" w:themeColor="text1"/>
        </w:rPr>
        <w:t>510010901011</w:t>
      </w:r>
      <w:r w:rsidR="00312CE1">
        <w:rPr>
          <w:rFonts w:ascii="Calibri" w:hAnsi="Calibri" w:cs="Calibri"/>
          <w:color w:val="000000" w:themeColor="text1"/>
        </w:rPr>
        <w:t xml:space="preserve"> has 984.18 unprotected acres.</w:t>
      </w:r>
      <w:r w:rsidR="00773CDA">
        <w:rPr>
          <w:rFonts w:ascii="Calibri" w:hAnsi="Calibri" w:cs="Calibri"/>
          <w:color w:val="000000" w:themeColor="text1"/>
        </w:rPr>
        <w:t xml:space="preserve"> </w:t>
      </w:r>
    </w:p>
    <w:p w:rsidR="00773CDA" w:rsidP="00312CE1" w:rsidRDefault="00773CDA" w14:paraId="36D7FD0A" w14:textId="77777777">
      <w:pPr>
        <w:ind w:firstLine="720"/>
        <w:rPr>
          <w:rFonts w:ascii="Calibri" w:hAnsi="Calibri" w:cs="Calibri"/>
          <w:color w:val="000000" w:themeColor="text1"/>
        </w:rPr>
      </w:pPr>
    </w:p>
    <w:p w:rsidR="00773CDA" w:rsidP="00312CE1" w:rsidRDefault="00773CDA" w14:paraId="58B90FD4" w14:textId="45BEF77D">
      <w:pPr>
        <w:ind w:firstLine="720"/>
        <w:rPr>
          <w:rFonts w:ascii="Calibri" w:hAnsi="Calibri" w:cs="Calibri"/>
          <w:color w:val="000000" w:themeColor="text1"/>
        </w:rPr>
      </w:pPr>
      <w:r>
        <w:rPr>
          <w:rFonts w:ascii="Calibri" w:hAnsi="Calibri" w:cs="Calibri"/>
          <w:color w:val="000000" w:themeColor="text1"/>
        </w:rPr>
        <w:t>All of Virginia’s 5,963 Bzones had a total unprotected acres greater than zero with nine exceptions.  These 9 Bzones appear to all be water-only.  An example of such a Bzone is shown in Figure 1, which contains Bzone 510019902000.</w:t>
      </w:r>
    </w:p>
    <w:p w:rsidR="00773CDA" w:rsidP="00312CE1" w:rsidRDefault="00773CDA" w14:paraId="43946E4D" w14:textId="77777777">
      <w:pPr>
        <w:ind w:firstLine="720"/>
        <w:rPr>
          <w:rFonts w:ascii="Calibri" w:hAnsi="Calibri" w:cs="Calibri"/>
          <w:color w:val="000000" w:themeColor="text1"/>
        </w:rPr>
      </w:pPr>
    </w:p>
    <w:p w:rsidR="00773CDA" w:rsidP="00312CE1" w:rsidRDefault="00773CDA" w14:paraId="45C2B188" w14:textId="49A32D88">
      <w:pPr>
        <w:ind w:firstLine="720"/>
        <w:rPr>
          <w:rFonts w:ascii="Calibri" w:hAnsi="Calibri" w:cs="Calibri"/>
          <w:color w:val="000000" w:themeColor="text1"/>
        </w:rPr>
      </w:pPr>
      <w:r w:rsidRPr="00773CDA">
        <w:rPr>
          <w:rFonts w:ascii="Calibri" w:hAnsi="Calibri" w:cs="Calibri"/>
          <w:noProof/>
          <w:color w:val="000000" w:themeColor="text1"/>
        </w:rPr>
        <w:drawing>
          <wp:inline distT="0" distB="0" distL="0" distR="0" wp14:anchorId="1416A1E3" wp14:editId="434D2F05">
            <wp:extent cx="4296375" cy="3238952"/>
            <wp:effectExtent l="0" t="0" r="9525" b="0"/>
            <wp:docPr id="207682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21282" name=""/>
                    <pic:cNvPicPr/>
                  </pic:nvPicPr>
                  <pic:blipFill>
                    <a:blip r:embed="rId9"/>
                    <a:stretch>
                      <a:fillRect/>
                    </a:stretch>
                  </pic:blipFill>
                  <pic:spPr>
                    <a:xfrm>
                      <a:off x="0" y="0"/>
                      <a:ext cx="4296375" cy="3238952"/>
                    </a:xfrm>
                    <a:prstGeom prst="rect">
                      <a:avLst/>
                    </a:prstGeom>
                  </pic:spPr>
                </pic:pic>
              </a:graphicData>
            </a:graphic>
          </wp:inline>
        </w:drawing>
      </w:r>
    </w:p>
    <w:p w:rsidR="00773CDA" w:rsidP="00312CE1" w:rsidRDefault="00773CDA" w14:paraId="02A5E5CA" w14:textId="15360A00">
      <w:pPr>
        <w:ind w:firstLine="720"/>
        <w:rPr>
          <w:rFonts w:ascii="Calibri" w:hAnsi="Calibri" w:cs="Calibri"/>
          <w:color w:val="000000" w:themeColor="text1"/>
        </w:rPr>
      </w:pPr>
      <w:r>
        <w:rPr>
          <w:rFonts w:ascii="Calibri" w:hAnsi="Calibri" w:cs="Calibri"/>
          <w:color w:val="000000" w:themeColor="text1"/>
        </w:rPr>
        <w:t>Figure 1.  A Water-Only Bzone where there are no acres unprotected from development.</w:t>
      </w:r>
    </w:p>
    <w:p w:rsidRPr="00312CE1" w:rsidR="00E927EA" w:rsidP="00312CE1" w:rsidRDefault="00312CE1" w14:paraId="7B4FEA33" w14:textId="6609F430">
      <w:pPr>
        <w:ind w:firstLine="720"/>
        <w:rPr>
          <w:rFonts w:ascii="Calibri" w:hAnsi="Calibri" w:cs="Calibri"/>
          <w:color w:val="000000" w:themeColor="text1"/>
        </w:rPr>
      </w:pPr>
      <w:r w:rsidRPr="00312CE1">
        <w:rPr>
          <w:rFonts w:ascii="Calibri" w:hAnsi="Calibri" w:cs="Calibri"/>
        </w:rPr>
        <w:t xml:space="preserve"> </w:t>
      </w:r>
    </w:p>
    <w:p w:rsidRPr="00312CE1" w:rsidR="007A0844" w:rsidP="0F0B5A8E" w:rsidRDefault="00AB07A7" w14:paraId="28E10A58" w14:textId="192F5EE6">
      <w:pPr>
        <w:pStyle w:val="ListParagraph"/>
        <w:numPr>
          <w:ilvl w:val="0"/>
          <w:numId w:val="6"/>
        </w:numPr>
        <w:rPr>
          <w:rFonts w:ascii="Calibri" w:hAnsi="Calibri" w:cs="Calibri"/>
          <w:i/>
          <w:iCs/>
          <w:color w:val="000000" w:themeColor="text1"/>
          <w:sz w:val="24"/>
          <w:szCs w:val="24"/>
          <w:lang w:val="en-US"/>
        </w:rPr>
      </w:pPr>
      <w:r w:rsidRPr="00312CE1">
        <w:rPr>
          <w:rFonts w:ascii="Calibri" w:hAnsi="Calibri" w:cs="Calibri"/>
          <w:i/>
          <w:iCs/>
          <w:color w:val="000000" w:themeColor="text1"/>
          <w:sz w:val="24"/>
          <w:szCs w:val="24"/>
          <w:lang w:val="en-US"/>
        </w:rPr>
        <w:t>Categorizing Bzones as</w:t>
      </w:r>
      <w:r w:rsidRPr="00312CE1" w:rsidR="007A0844">
        <w:rPr>
          <w:rFonts w:ascii="Calibri" w:hAnsi="Calibri" w:cs="Calibri"/>
          <w:i/>
          <w:iCs/>
          <w:color w:val="000000" w:themeColor="text1"/>
          <w:sz w:val="24"/>
          <w:szCs w:val="24"/>
          <w:lang w:val="en-US"/>
        </w:rPr>
        <w:t xml:space="preserve"> Urban, Town, and Rural</w:t>
      </w:r>
    </w:p>
    <w:p w:rsidRPr="00312CE1" w:rsidR="007A0844" w:rsidP="007A0844" w:rsidRDefault="007A0844" w14:paraId="2238A676" w14:textId="77777777">
      <w:pPr>
        <w:rPr>
          <w:rFonts w:ascii="Calibri" w:hAnsi="Calibri" w:cs="Calibri"/>
          <w:color w:val="000000" w:themeColor="text1"/>
        </w:rPr>
      </w:pPr>
    </w:p>
    <w:p w:rsidRPr="00312CE1" w:rsidR="00A50574" w:rsidP="007A0844" w:rsidRDefault="007A0844" w14:paraId="463B162B" w14:textId="7F92BF31">
      <w:pPr>
        <w:ind w:firstLine="720"/>
        <w:rPr>
          <w:rFonts w:ascii="Calibri" w:hAnsi="Calibri" w:cs="Calibri"/>
          <w:color w:val="000000" w:themeColor="text1"/>
        </w:rPr>
      </w:pPr>
      <w:r w:rsidRPr="00312CE1">
        <w:rPr>
          <w:rFonts w:ascii="Calibri" w:hAnsi="Calibri" w:cs="Calibri"/>
          <w:color w:val="000000" w:themeColor="text1"/>
        </w:rPr>
        <w:t>I</w:t>
      </w:r>
      <w:r w:rsidRPr="00312CE1" w:rsidR="00E927EA">
        <w:rPr>
          <w:rFonts w:ascii="Calibri" w:hAnsi="Calibri" w:cs="Calibri"/>
          <w:color w:val="000000" w:themeColor="text1"/>
        </w:rPr>
        <w:t xml:space="preserve">n terms of how to classify areas within the Bzone as urban, rural, or town, the </w:t>
      </w:r>
      <w:r w:rsidRPr="00312CE1" w:rsidR="00E927EA">
        <w:rPr>
          <w:rFonts w:ascii="Calibri" w:hAnsi="Calibri" w:cs="Calibri"/>
        </w:rPr>
        <w:t>document Task 7.2 Simplified Scenario Development guide (</w:t>
      </w:r>
      <w:hyperlink w:tgtFrame="_blank" w:history="1" r:id="rId10">
        <w:r w:rsidRPr="00312CE1" w:rsidR="00E927EA">
          <w:rPr>
            <w:rStyle w:val="Hyperlink"/>
            <w:rFonts w:ascii="Calibri" w:hAnsi="Calibri" w:cs="Calibri"/>
          </w:rPr>
          <w:t>A Playbook for Simplified Approaches for Creating Scenarios in VisionEval</w:t>
        </w:r>
      </w:hyperlink>
      <w:r w:rsidRPr="00312CE1" w:rsidR="00E927EA">
        <w:rPr>
          <w:rFonts w:ascii="Calibri" w:hAnsi="Calibri" w:cs="Calibri"/>
        </w:rPr>
        <w:t>) states that “T</w:t>
      </w:r>
      <w:r w:rsidRPr="00312CE1" w:rsidR="00E927EA">
        <w:rPr>
          <w:rFonts w:ascii="Calibri" w:hAnsi="Calibri" w:cs="Calibri"/>
          <w:color w:val="000000" w:themeColor="text1"/>
        </w:rPr>
        <w:t>he classification of the urban, town, and rural is generally up to the user</w:t>
      </w:r>
      <w:r w:rsidRPr="00312CE1" w:rsidR="00A50574">
        <w:rPr>
          <w:rFonts w:ascii="Calibri" w:hAnsi="Calibri" w:cs="Calibri"/>
          <w:color w:val="000000" w:themeColor="text1"/>
        </w:rPr>
        <w:t>.</w:t>
      </w:r>
      <w:r w:rsidRPr="00312CE1" w:rsidR="00E927EA">
        <w:rPr>
          <w:rFonts w:ascii="Calibri" w:hAnsi="Calibri" w:cs="Calibri"/>
          <w:color w:val="000000" w:themeColor="text1"/>
        </w:rPr>
        <w:t>”</w:t>
      </w:r>
      <w:r w:rsidRPr="00312CE1" w:rsidR="00A50574">
        <w:rPr>
          <w:rFonts w:ascii="Calibri" w:hAnsi="Calibri" w:cs="Calibri"/>
          <w:color w:val="000000" w:themeColor="text1"/>
        </w:rPr>
        <w:t xml:space="preserve">  Indeed this appears to be the case, given two contradictory examples:</w:t>
      </w:r>
    </w:p>
    <w:p w:rsidRPr="00312CE1" w:rsidR="00A50574" w:rsidP="00A50574" w:rsidRDefault="00A50574" w14:paraId="63CE3A19" w14:textId="77777777">
      <w:pPr>
        <w:pStyle w:val="ListParagraph"/>
        <w:rPr>
          <w:rFonts w:ascii="Calibri" w:hAnsi="Calibri" w:cs="Calibri"/>
          <w:color w:val="000000" w:themeColor="text1"/>
          <w:sz w:val="24"/>
          <w:szCs w:val="24"/>
        </w:rPr>
      </w:pPr>
    </w:p>
    <w:p w:rsidRPr="00312CE1" w:rsidR="00CD530A" w:rsidP="00A50574" w:rsidRDefault="007A0844" w14:paraId="7BEAA5BA" w14:textId="233C2909">
      <w:pPr>
        <w:pStyle w:val="ListParagraph"/>
        <w:numPr>
          <w:ilvl w:val="4"/>
          <w:numId w:val="1"/>
        </w:numPr>
        <w:ind w:left="1080"/>
        <w:rPr>
          <w:rFonts w:ascii="Calibri" w:hAnsi="Calibri" w:cs="Calibri"/>
          <w:color w:val="000000" w:themeColor="text1"/>
          <w:sz w:val="24"/>
          <w:szCs w:val="24"/>
        </w:rPr>
      </w:pPr>
      <w:r w:rsidRPr="00312CE1">
        <w:rPr>
          <w:rFonts w:ascii="Calibri" w:hAnsi="Calibri" w:cs="Calibri"/>
          <w:i/>
          <w:iCs/>
          <w:color w:val="000000" w:themeColor="text1"/>
          <w:sz w:val="24"/>
          <w:szCs w:val="24"/>
        </w:rPr>
        <w:t>A bzone should be either only urban, only town, or only rural.</w:t>
      </w:r>
      <w:r w:rsidRPr="00312CE1">
        <w:rPr>
          <w:rFonts w:ascii="Calibri" w:hAnsi="Calibri" w:cs="Calibri"/>
          <w:color w:val="000000" w:themeColor="text1"/>
          <w:sz w:val="24"/>
          <w:szCs w:val="24"/>
        </w:rPr>
        <w:t xml:space="preserve">  </w:t>
      </w:r>
      <w:r w:rsidRPr="00312CE1" w:rsidR="00A50574">
        <w:rPr>
          <w:rFonts w:ascii="Calibri" w:hAnsi="Calibri" w:cs="Calibri"/>
          <w:color w:val="000000" w:themeColor="text1"/>
          <w:sz w:val="24"/>
          <w:szCs w:val="24"/>
        </w:rPr>
        <w:t xml:space="preserve">The </w:t>
      </w:r>
      <w:r w:rsidRPr="00312CE1" w:rsidR="00CD530A">
        <w:rPr>
          <w:rFonts w:ascii="Calibri" w:hAnsi="Calibri" w:cs="Calibri"/>
          <w:color w:val="000000" w:themeColor="text1"/>
          <w:sz w:val="24"/>
          <w:szCs w:val="24"/>
        </w:rPr>
        <w:t xml:space="preserve">VisionEval documentation (e.g., </w:t>
      </w:r>
      <w:hyperlink w:history="1" r:id="rId11">
        <w:r w:rsidRPr="00312CE1" w:rsidR="00CD530A">
          <w:rPr>
            <w:rStyle w:val="Hyperlink"/>
            <w:rFonts w:ascii="Calibri" w:hAnsi="Calibri" w:cs="Calibri"/>
            <w:sz w:val="24"/>
            <w:szCs w:val="24"/>
          </w:rPr>
          <w:t>https://visioneval.github.io/docs/model-inputs.html</w:t>
        </w:r>
      </w:hyperlink>
      <w:r w:rsidRPr="00312CE1" w:rsidR="00CD530A">
        <w:rPr>
          <w:rFonts w:ascii="Calibri" w:hAnsi="Calibri" w:cs="Calibri"/>
          <w:color w:val="000000" w:themeColor="text1"/>
          <w:sz w:val="24"/>
          <w:szCs w:val="24"/>
        </w:rPr>
        <w:t>)</w:t>
      </w:r>
      <w:r w:rsidRPr="00312CE1" w:rsidR="00A50574">
        <w:rPr>
          <w:rFonts w:ascii="Calibri" w:hAnsi="Calibri" w:cs="Calibri"/>
          <w:color w:val="000000" w:themeColor="text1"/>
          <w:sz w:val="24"/>
          <w:szCs w:val="24"/>
        </w:rPr>
        <w:t xml:space="preserve"> indicates </w:t>
      </w:r>
      <w:r w:rsidRPr="00312CE1" w:rsidR="00E927EA">
        <w:rPr>
          <w:rFonts w:ascii="Calibri" w:hAnsi="Calibri" w:cs="Calibri"/>
          <w:color w:val="000000" w:themeColor="text1"/>
          <w:sz w:val="24"/>
          <w:szCs w:val="24"/>
        </w:rPr>
        <w:t>that in the past, areas of 50,000 or more people were considered urban, areas of 2,500 - 50,000 people are town, and everything else is rural.</w:t>
      </w:r>
      <w:r w:rsidRPr="00312CE1" w:rsidR="00CD530A">
        <w:rPr>
          <w:rFonts w:ascii="Calibri" w:hAnsi="Calibri" w:cs="Calibri"/>
          <w:color w:val="000000" w:themeColor="text1"/>
          <w:sz w:val="24"/>
          <w:szCs w:val="24"/>
        </w:rPr>
        <w:t xml:space="preserve">  </w:t>
      </w:r>
      <w:r w:rsidRPr="00312CE1" w:rsidR="00C16017">
        <w:rPr>
          <w:rFonts w:ascii="Calibri" w:hAnsi="Calibri" w:cs="Calibri"/>
          <w:color w:val="000000" w:themeColor="text1"/>
          <w:sz w:val="24"/>
          <w:szCs w:val="24"/>
        </w:rPr>
        <w:t>Elsewhere</w:t>
      </w:r>
      <w:r w:rsidRPr="00312CE1" w:rsidR="00CD530A">
        <w:rPr>
          <w:rFonts w:ascii="Calibri" w:hAnsi="Calibri" w:cs="Calibri"/>
          <w:color w:val="000000" w:themeColor="text1"/>
          <w:sz w:val="24"/>
          <w:szCs w:val="24"/>
        </w:rPr>
        <w:t xml:space="preserve"> in the same document, the guidance states that “</w:t>
      </w:r>
      <w:r w:rsidRPr="00312CE1" w:rsidR="00CD530A">
        <w:rPr>
          <w:rFonts w:ascii="Calibri" w:hAnsi="Calibri" w:cs="Calibri"/>
          <w:color w:val="000000" w:themeColor="text1"/>
          <w:sz w:val="24"/>
          <w:szCs w:val="24"/>
          <w:lang w:val="en-US"/>
        </w:rPr>
        <w:t>One method is to define land in MPO boundaries to be </w:t>
      </w:r>
      <w:r w:rsidRPr="00312CE1" w:rsidR="00CD530A">
        <w:rPr>
          <w:rFonts w:ascii="Calibri" w:hAnsi="Calibri" w:cs="Calibri"/>
          <w:b/>
          <w:bCs/>
          <w:color w:val="000000" w:themeColor="text1"/>
          <w:sz w:val="24"/>
          <w:szCs w:val="24"/>
          <w:lang w:val="en-US"/>
        </w:rPr>
        <w:t>metro</w:t>
      </w:r>
      <w:r w:rsidRPr="00312CE1" w:rsidR="00CD530A">
        <w:rPr>
          <w:rFonts w:ascii="Calibri" w:hAnsi="Calibri" w:cs="Calibri"/>
          <w:color w:val="000000" w:themeColor="text1"/>
          <w:sz w:val="24"/>
          <w:szCs w:val="24"/>
          <w:lang w:val="en-US"/>
        </w:rPr>
        <w:t>, for urban areas smaller than MPOs, land inside their UGB is a </w:t>
      </w:r>
      <w:r w:rsidRPr="00312CE1" w:rsidR="00CD530A">
        <w:rPr>
          <w:rFonts w:ascii="Calibri" w:hAnsi="Calibri" w:cs="Calibri"/>
          <w:b/>
          <w:bCs/>
          <w:color w:val="000000" w:themeColor="text1"/>
          <w:sz w:val="24"/>
          <w:szCs w:val="24"/>
          <w:lang w:val="en-US"/>
        </w:rPr>
        <w:t>town</w:t>
      </w:r>
      <w:r w:rsidRPr="00312CE1" w:rsidR="00CD530A">
        <w:rPr>
          <w:rFonts w:ascii="Calibri" w:hAnsi="Calibri" w:cs="Calibri"/>
          <w:color w:val="000000" w:themeColor="text1"/>
          <w:sz w:val="24"/>
          <w:szCs w:val="24"/>
          <w:lang w:val="en-US"/>
        </w:rPr>
        <w:t>. Everything else is </w:t>
      </w:r>
      <w:r w:rsidRPr="00312CE1" w:rsidR="00CD530A">
        <w:rPr>
          <w:rFonts w:ascii="Calibri" w:hAnsi="Calibri" w:cs="Calibri"/>
          <w:b/>
          <w:bCs/>
          <w:color w:val="000000" w:themeColor="text1"/>
          <w:sz w:val="24"/>
          <w:szCs w:val="24"/>
          <w:lang w:val="en-US"/>
        </w:rPr>
        <w:t>rural</w:t>
      </w:r>
      <w:r w:rsidRPr="00312CE1" w:rsidR="00CD530A">
        <w:rPr>
          <w:rFonts w:ascii="Calibri" w:hAnsi="Calibri" w:cs="Calibri"/>
          <w:color w:val="000000" w:themeColor="text1"/>
          <w:sz w:val="24"/>
          <w:szCs w:val="24"/>
          <w:lang w:val="en-US"/>
        </w:rPr>
        <w:t xml:space="preserve">.” (emphasis in the original).  </w:t>
      </w:r>
      <w:r w:rsidRPr="00312CE1" w:rsidR="00CD530A">
        <w:rPr>
          <w:rFonts w:ascii="Calibri" w:hAnsi="Calibri" w:cs="Calibri"/>
          <w:color w:val="000000" w:themeColor="text1"/>
          <w:sz w:val="24"/>
          <w:szCs w:val="24"/>
        </w:rPr>
        <w:t xml:space="preserve">To the extent that bzones align with census </w:t>
      </w:r>
      <w:r w:rsidRPr="00312CE1" w:rsidR="00C16017">
        <w:rPr>
          <w:rFonts w:ascii="Calibri" w:hAnsi="Calibri" w:cs="Calibri"/>
          <w:color w:val="000000" w:themeColor="text1"/>
          <w:sz w:val="24"/>
          <w:szCs w:val="24"/>
        </w:rPr>
        <w:t>geographies</w:t>
      </w:r>
      <w:r w:rsidRPr="00312CE1" w:rsidR="00CD530A">
        <w:rPr>
          <w:rFonts w:ascii="Calibri" w:hAnsi="Calibri" w:cs="Calibri"/>
          <w:color w:val="000000" w:themeColor="text1"/>
          <w:sz w:val="24"/>
          <w:szCs w:val="24"/>
        </w:rPr>
        <w:t>, one would expect a bzone to thus be completely urban, completely town, or completely rural.</w:t>
      </w:r>
    </w:p>
    <w:p w:rsidRPr="00312CE1" w:rsidR="007A0844" w:rsidP="007A0844" w:rsidRDefault="007A0844" w14:paraId="7793D45A" w14:textId="77777777">
      <w:pPr>
        <w:pStyle w:val="ListParagraph"/>
        <w:ind w:left="1080"/>
        <w:rPr>
          <w:rFonts w:ascii="Calibri" w:hAnsi="Calibri" w:cs="Calibri"/>
          <w:color w:val="000000" w:themeColor="text1"/>
          <w:sz w:val="24"/>
          <w:szCs w:val="24"/>
        </w:rPr>
      </w:pPr>
    </w:p>
    <w:p w:rsidRPr="00312CE1" w:rsidR="00CD530A" w:rsidP="0F0B5A8E" w:rsidRDefault="007A0844" w14:paraId="06F8CB09" w14:textId="45F945DA">
      <w:pPr>
        <w:pStyle w:val="ListParagraph"/>
        <w:numPr>
          <w:ilvl w:val="4"/>
          <w:numId w:val="1"/>
        </w:numPr>
        <w:ind w:left="1080"/>
        <w:rPr>
          <w:rFonts w:ascii="Calibri" w:hAnsi="Calibri" w:cs="Calibri"/>
          <w:color w:val="000000" w:themeColor="text1"/>
          <w:sz w:val="24"/>
          <w:szCs w:val="24"/>
          <w:lang w:val="en-US"/>
        </w:rPr>
      </w:pPr>
      <w:r w:rsidRPr="00312CE1">
        <w:rPr>
          <w:rFonts w:ascii="Calibri" w:hAnsi="Calibri" w:cs="Calibri"/>
          <w:i/>
          <w:iCs/>
          <w:color w:val="000000" w:themeColor="text1"/>
          <w:sz w:val="24"/>
          <w:szCs w:val="24"/>
          <w:lang w:val="en-US"/>
        </w:rPr>
        <w:t>A bzone could be a mix of urban, town, or rural</w:t>
      </w:r>
      <w:r w:rsidRPr="00312CE1">
        <w:rPr>
          <w:rFonts w:ascii="Calibri" w:hAnsi="Calibri" w:cs="Calibri"/>
          <w:color w:val="000000" w:themeColor="text1"/>
          <w:sz w:val="24"/>
          <w:szCs w:val="24"/>
          <w:lang w:val="en-US"/>
        </w:rPr>
        <w:t xml:space="preserve">. </w:t>
      </w:r>
      <w:r w:rsidRPr="00312CE1" w:rsidR="00A50574">
        <w:rPr>
          <w:rFonts w:ascii="Calibri" w:hAnsi="Calibri" w:cs="Calibri"/>
          <w:color w:val="000000" w:themeColor="text1"/>
          <w:sz w:val="24"/>
          <w:szCs w:val="24"/>
          <w:lang w:val="en-US"/>
        </w:rPr>
        <w:t>A review of the input file associated with</w:t>
      </w:r>
      <w:r w:rsidRPr="00312CE1" w:rsidR="00CD530A">
        <w:rPr>
          <w:rFonts w:ascii="Calibri" w:hAnsi="Calibri" w:cs="Calibri"/>
          <w:color w:val="000000" w:themeColor="text1"/>
          <w:sz w:val="24"/>
          <w:szCs w:val="24"/>
          <w:lang w:val="en-US"/>
        </w:rPr>
        <w:t xml:space="preserve"> the Rogue Valley MPO (</w:t>
      </w:r>
      <w:r w:rsidRPr="00312CE1" w:rsidR="00A50574">
        <w:rPr>
          <w:rFonts w:ascii="Calibri" w:hAnsi="Calibri" w:cs="Calibri"/>
          <w:color w:val="000000" w:themeColor="text1"/>
          <w:sz w:val="24"/>
          <w:szCs w:val="24"/>
          <w:lang w:val="en-US"/>
        </w:rPr>
        <w:t>RVMPO</w:t>
      </w:r>
      <w:r w:rsidRPr="00312CE1" w:rsidR="00CD530A">
        <w:rPr>
          <w:rFonts w:ascii="Calibri" w:hAnsi="Calibri" w:cs="Calibri"/>
          <w:color w:val="000000" w:themeColor="text1"/>
          <w:sz w:val="24"/>
          <w:szCs w:val="24"/>
          <w:lang w:val="en-US"/>
        </w:rPr>
        <w:t xml:space="preserve">, </w:t>
      </w:r>
      <w:r w:rsidRPr="00312CE1" w:rsidR="00A50574">
        <w:rPr>
          <w:rFonts w:ascii="Calibri" w:hAnsi="Calibri" w:cs="Calibri"/>
          <w:color w:val="000000" w:themeColor="text1"/>
          <w:sz w:val="24"/>
          <w:szCs w:val="24"/>
          <w:lang w:val="en-US"/>
        </w:rPr>
        <w:t>the default files given with VisionEval) showed</w:t>
      </w:r>
      <w:r w:rsidRPr="00312CE1" w:rsidR="00CD530A">
        <w:rPr>
          <w:rFonts w:ascii="Calibri" w:hAnsi="Calibri" w:cs="Calibri"/>
          <w:color w:val="000000" w:themeColor="text1"/>
          <w:sz w:val="24"/>
          <w:szCs w:val="24"/>
          <w:lang w:val="en-US"/>
        </w:rPr>
        <w:t xml:space="preserve"> a different approach.  For the </w:t>
      </w:r>
      <w:r w:rsidRPr="00312CE1" w:rsidR="00A50574">
        <w:rPr>
          <w:rFonts w:ascii="Calibri" w:hAnsi="Calibri" w:cs="Calibri"/>
          <w:color w:val="000000" w:themeColor="text1"/>
          <w:sz w:val="24"/>
          <w:szCs w:val="24"/>
          <w:lang w:val="en-US"/>
        </w:rPr>
        <w:t>210 bzones</w:t>
      </w:r>
      <w:r w:rsidRPr="00312CE1" w:rsidR="00CD530A">
        <w:rPr>
          <w:rFonts w:ascii="Calibri" w:hAnsi="Calibri" w:cs="Calibri"/>
          <w:color w:val="000000" w:themeColor="text1"/>
          <w:sz w:val="24"/>
          <w:szCs w:val="24"/>
          <w:lang w:val="en-US"/>
        </w:rPr>
        <w:t xml:space="preserve"> and based on the amount of unprotected area (e.g., available for development), </w:t>
      </w:r>
      <w:r w:rsidRPr="00312CE1" w:rsidR="00A50574">
        <w:rPr>
          <w:rFonts w:ascii="Calibri" w:hAnsi="Calibri" w:cs="Calibri"/>
          <w:color w:val="000000" w:themeColor="text1"/>
          <w:sz w:val="24"/>
          <w:szCs w:val="24"/>
          <w:lang w:val="en-US"/>
        </w:rPr>
        <w:t xml:space="preserve">104 </w:t>
      </w:r>
      <w:r w:rsidRPr="00312CE1" w:rsidR="00CD530A">
        <w:rPr>
          <w:rFonts w:ascii="Calibri" w:hAnsi="Calibri" w:cs="Calibri"/>
          <w:color w:val="000000" w:themeColor="text1"/>
          <w:sz w:val="24"/>
          <w:szCs w:val="24"/>
          <w:lang w:val="en-US"/>
        </w:rPr>
        <w:t xml:space="preserve">bzones </w:t>
      </w:r>
      <w:r w:rsidRPr="00312CE1" w:rsidR="00A50574">
        <w:rPr>
          <w:rFonts w:ascii="Calibri" w:hAnsi="Calibri" w:cs="Calibri"/>
          <w:color w:val="000000" w:themeColor="text1"/>
          <w:sz w:val="24"/>
          <w:szCs w:val="24"/>
          <w:lang w:val="en-US"/>
        </w:rPr>
        <w:t xml:space="preserve">were completely urban, 17 were completely rural, and 87 had some urban and some rural. </w:t>
      </w:r>
    </w:p>
    <w:p w:rsidRPr="00312CE1" w:rsidR="007A0844" w:rsidP="007A0844" w:rsidRDefault="007A0844" w14:paraId="1ED269A0" w14:textId="77777777">
      <w:pPr>
        <w:rPr>
          <w:rFonts w:ascii="Calibri" w:hAnsi="Calibri" w:cs="Calibri"/>
          <w:color w:val="000000" w:themeColor="text1"/>
        </w:rPr>
      </w:pPr>
    </w:p>
    <w:p w:rsidRPr="00312CE1" w:rsidR="00A50574" w:rsidP="007A0844" w:rsidRDefault="00CD530A" w14:paraId="57B498C9" w14:textId="7342CB6C">
      <w:pPr>
        <w:ind w:firstLine="720"/>
        <w:rPr>
          <w:rFonts w:ascii="Calibri" w:hAnsi="Calibri" w:cs="Calibri"/>
          <w:color w:val="000000" w:themeColor="text1"/>
        </w:rPr>
      </w:pPr>
      <w:r w:rsidRPr="00312CE1">
        <w:rPr>
          <w:rFonts w:ascii="Calibri" w:hAnsi="Calibri" w:cs="Calibri"/>
          <w:color w:val="000000" w:themeColor="text1"/>
        </w:rPr>
        <w:t>Overall, i</w:t>
      </w:r>
      <w:r w:rsidRPr="00312CE1" w:rsidR="00A50574">
        <w:rPr>
          <w:rFonts w:ascii="Calibri" w:hAnsi="Calibri" w:cs="Calibri"/>
          <w:color w:val="000000" w:themeColor="text1"/>
        </w:rPr>
        <w:t>t is critical that this classification</w:t>
      </w:r>
      <w:r w:rsidRPr="00312CE1">
        <w:rPr>
          <w:rFonts w:ascii="Calibri" w:hAnsi="Calibri" w:cs="Calibri"/>
          <w:color w:val="000000" w:themeColor="text1"/>
        </w:rPr>
        <w:t xml:space="preserve"> of rural, town, and urban (or metro)</w:t>
      </w:r>
      <w:r w:rsidRPr="00312CE1" w:rsidR="00A50574">
        <w:rPr>
          <w:rFonts w:ascii="Calibri" w:hAnsi="Calibri" w:cs="Calibri"/>
          <w:color w:val="000000" w:themeColor="text1"/>
        </w:rPr>
        <w:t xml:space="preserve"> be consistent with another input 31_bzone_urban_town_</w:t>
      </w:r>
      <w:r w:rsidRPr="00312CE1" w:rsidR="007A0844">
        <w:rPr>
          <w:rFonts w:ascii="Calibri" w:hAnsi="Calibri" w:cs="Calibri"/>
          <w:color w:val="000000" w:themeColor="text1"/>
        </w:rPr>
        <w:t>d</w:t>
      </w:r>
      <w:r w:rsidRPr="00312CE1" w:rsidR="00A50574">
        <w:rPr>
          <w:rFonts w:ascii="Calibri" w:hAnsi="Calibri" w:cs="Calibri"/>
          <w:color w:val="000000" w:themeColor="text1"/>
        </w:rPr>
        <w:t xml:space="preserve">welling_prop which also </w:t>
      </w:r>
      <w:r w:rsidRPr="00312CE1">
        <w:rPr>
          <w:rFonts w:ascii="Calibri" w:hAnsi="Calibri" w:cs="Calibri"/>
          <w:color w:val="000000" w:themeColor="text1"/>
        </w:rPr>
        <w:t>gives the proportion of dwelling units in urban and town areas (and by subtraction, the proportion in rural areas is implied).</w:t>
      </w:r>
      <w:r w:rsidRPr="00312CE1" w:rsidR="00A50574">
        <w:rPr>
          <w:rFonts w:ascii="Calibri" w:hAnsi="Calibri" w:cs="Calibri"/>
          <w:color w:val="000000" w:themeColor="text1"/>
        </w:rPr>
        <w:t xml:space="preserve">  </w:t>
      </w:r>
    </w:p>
    <w:p w:rsidRPr="00312CE1" w:rsidR="00AB07A7" w:rsidP="007A0844" w:rsidRDefault="00AB07A7" w14:paraId="6E46EDEA" w14:textId="77777777">
      <w:pPr>
        <w:ind w:firstLine="720"/>
        <w:rPr>
          <w:rFonts w:ascii="Calibri" w:hAnsi="Calibri" w:cs="Calibri"/>
          <w:color w:val="000000" w:themeColor="text1"/>
        </w:rPr>
      </w:pPr>
    </w:p>
    <w:p w:rsidRPr="00312CE1" w:rsidR="00AB07A7" w:rsidP="00AB07A7" w:rsidRDefault="00AB07A7" w14:paraId="2476B877" w14:textId="640E7021">
      <w:pPr>
        <w:ind w:firstLine="720"/>
        <w:rPr>
          <w:rFonts w:ascii="Calibri" w:hAnsi="Calibri" w:cs="Calibri"/>
          <w:color w:val="000000" w:themeColor="text1"/>
        </w:rPr>
      </w:pPr>
      <w:r w:rsidRPr="00312CE1">
        <w:rPr>
          <w:rFonts w:ascii="Calibri" w:hAnsi="Calibri" w:cs="Calibri"/>
          <w:color w:val="000000" w:themeColor="text1"/>
        </w:rPr>
        <w:t>Accordingly, an approach was chosen that sought to initially categorize areas as urban, town, or rural.  A dataset was obtained from ESRI titled “</w:t>
      </w:r>
      <w:hyperlink w:history="1" r:id="rId12">
        <w:r w:rsidRPr="00312CE1">
          <w:rPr>
            <w:rStyle w:val="Hyperlink"/>
            <w:rFonts w:ascii="Calibri" w:hAnsi="Calibri" w:cs="Calibri"/>
          </w:rPr>
          <w:t>Urban and Rural Population in the U.S. (2020 Census) - Overview</w:t>
        </w:r>
      </w:hyperlink>
      <w:r w:rsidRPr="00312CE1">
        <w:rPr>
          <w:rFonts w:ascii="Calibri" w:hAnsi="Calibri" w:cs="Calibri"/>
          <w:color w:val="000000" w:themeColor="text1"/>
        </w:rPr>
        <w:t>” which had the percent of population that is urban in each block group.  A spatial join was performed, and then based on examining areas in Charlottesville/Albemarle and Culpeper, bzones were categorized as follows:</w:t>
      </w:r>
    </w:p>
    <w:p w:rsidRPr="00312CE1" w:rsidR="00AB07A7" w:rsidP="00AB07A7" w:rsidRDefault="00AB07A7" w14:paraId="0C3A838E" w14:textId="77777777">
      <w:pPr>
        <w:rPr>
          <w:rFonts w:ascii="Calibri" w:hAnsi="Calibri" w:cs="Calibri"/>
          <w:color w:val="000000" w:themeColor="text1"/>
        </w:rPr>
      </w:pPr>
    </w:p>
    <w:p w:rsidRPr="00312CE1" w:rsidR="00AB07A7" w:rsidP="00AB07A7" w:rsidRDefault="00AB07A7" w14:paraId="0D4E0A99" w14:textId="7E74AA14">
      <w:pPr>
        <w:pStyle w:val="ListParagraph"/>
        <w:numPr>
          <w:ilvl w:val="0"/>
          <w:numId w:val="7"/>
        </w:numPr>
        <w:rPr>
          <w:rFonts w:ascii="Calibri" w:hAnsi="Calibri" w:cs="Calibri"/>
          <w:color w:val="000000" w:themeColor="text1"/>
          <w:sz w:val="24"/>
          <w:szCs w:val="24"/>
        </w:rPr>
      </w:pPr>
      <w:r w:rsidRPr="00312CE1">
        <w:rPr>
          <w:rFonts w:ascii="Calibri" w:hAnsi="Calibri" w:cs="Calibri"/>
          <w:color w:val="000000" w:themeColor="text1"/>
          <w:sz w:val="24"/>
          <w:szCs w:val="24"/>
        </w:rPr>
        <w:t xml:space="preserve">Urban if the Bzone has </w:t>
      </w:r>
      <w:r w:rsidRPr="00312CE1" w:rsidR="009F77BE">
        <w:rPr>
          <w:rFonts w:ascii="Calibri" w:hAnsi="Calibri" w:cs="Calibri"/>
          <w:color w:val="000000" w:themeColor="text1"/>
          <w:sz w:val="24"/>
          <w:szCs w:val="24"/>
        </w:rPr>
        <w:t>at least 75% of its population as urban</w:t>
      </w:r>
    </w:p>
    <w:p w:rsidRPr="00312CE1" w:rsidR="009F77BE" w:rsidP="00AB07A7" w:rsidRDefault="009F77BE" w14:paraId="11DB1F39" w14:textId="4A3F4526">
      <w:pPr>
        <w:pStyle w:val="ListParagraph"/>
        <w:numPr>
          <w:ilvl w:val="0"/>
          <w:numId w:val="7"/>
        </w:numPr>
        <w:rPr>
          <w:rFonts w:ascii="Calibri" w:hAnsi="Calibri" w:cs="Calibri"/>
          <w:color w:val="000000" w:themeColor="text1"/>
          <w:sz w:val="24"/>
          <w:szCs w:val="24"/>
        </w:rPr>
      </w:pPr>
      <w:r w:rsidRPr="00312CE1">
        <w:rPr>
          <w:rFonts w:ascii="Calibri" w:hAnsi="Calibri" w:cs="Calibri"/>
          <w:color w:val="000000" w:themeColor="text1"/>
          <w:sz w:val="24"/>
          <w:szCs w:val="24"/>
        </w:rPr>
        <w:t>Town if the Bzone has more than 0% of its population</w:t>
      </w:r>
    </w:p>
    <w:p w:rsidRPr="00312CE1" w:rsidR="009F77BE" w:rsidP="00AB07A7" w:rsidRDefault="009F77BE" w14:paraId="3121B516" w14:textId="2C3EDB18">
      <w:pPr>
        <w:pStyle w:val="ListParagraph"/>
        <w:numPr>
          <w:ilvl w:val="0"/>
          <w:numId w:val="7"/>
        </w:numPr>
        <w:rPr>
          <w:rFonts w:ascii="Calibri" w:hAnsi="Calibri" w:cs="Calibri"/>
          <w:color w:val="000000" w:themeColor="text1"/>
          <w:sz w:val="24"/>
          <w:szCs w:val="24"/>
        </w:rPr>
      </w:pPr>
      <w:r w:rsidRPr="00312CE1">
        <w:rPr>
          <w:rFonts w:ascii="Calibri" w:hAnsi="Calibri" w:cs="Calibri"/>
          <w:color w:val="000000" w:themeColor="text1"/>
          <w:sz w:val="24"/>
          <w:szCs w:val="24"/>
        </w:rPr>
        <w:t>Rural if 0% of the population is urban</w:t>
      </w:r>
    </w:p>
    <w:p w:rsidRPr="00312CE1" w:rsidR="00AB07A7" w:rsidP="00AB07A7" w:rsidRDefault="00AB07A7" w14:paraId="7CD80CC6" w14:textId="77777777">
      <w:pPr>
        <w:ind w:firstLine="720"/>
        <w:rPr>
          <w:rFonts w:ascii="Calibri" w:hAnsi="Calibri" w:cs="Calibri"/>
          <w:color w:val="000000" w:themeColor="text1"/>
        </w:rPr>
      </w:pPr>
    </w:p>
    <w:p w:rsidRPr="00312CE1" w:rsidR="009F77BE" w:rsidP="009F77BE" w:rsidRDefault="009F77BE" w14:paraId="74795BC4" w14:textId="06C09660">
      <w:pPr>
        <w:rPr>
          <w:rFonts w:ascii="Calibri" w:hAnsi="Calibri" w:cs="Calibri"/>
          <w:i/>
          <w:iCs/>
          <w:color w:val="000000" w:themeColor="text1"/>
        </w:rPr>
      </w:pPr>
      <w:r w:rsidRPr="00312CE1">
        <w:rPr>
          <w:rFonts w:ascii="Calibri" w:hAnsi="Calibri" w:cs="Calibri"/>
          <w:i/>
          <w:iCs/>
          <w:color w:val="000000" w:themeColor="text1"/>
        </w:rPr>
        <w:t>3. Combine the results from steps (1) and (2)</w:t>
      </w:r>
    </w:p>
    <w:p w:rsidRPr="00312CE1" w:rsidR="00AB07A7" w:rsidP="007A0844" w:rsidRDefault="00AB07A7" w14:paraId="33E1FF28" w14:textId="77777777">
      <w:pPr>
        <w:ind w:firstLine="720"/>
        <w:rPr>
          <w:rFonts w:ascii="Calibri" w:hAnsi="Calibri" w:cs="Calibri"/>
          <w:color w:val="000000" w:themeColor="text1"/>
        </w:rPr>
      </w:pPr>
    </w:p>
    <w:p w:rsidRPr="00312CE1" w:rsidR="009F77BE" w:rsidP="007A0844" w:rsidRDefault="007A0844" w14:paraId="34C11B67" w14:textId="77777777">
      <w:pPr>
        <w:ind w:firstLine="720"/>
        <w:rPr>
          <w:rFonts w:ascii="Calibri" w:hAnsi="Calibri" w:cs="Calibri"/>
        </w:rPr>
      </w:pPr>
      <w:r w:rsidRPr="00312CE1">
        <w:rPr>
          <w:rFonts w:ascii="Calibri" w:hAnsi="Calibri" w:cs="Calibri"/>
        </w:rPr>
        <w:t xml:space="preserve">The </w:t>
      </w:r>
      <w:hyperlink w:tgtFrame="_blank" w:history="1" r:id="rId13">
        <w:r w:rsidRPr="00312CE1">
          <w:rPr>
            <w:rStyle w:val="Hyperlink"/>
            <w:rFonts w:ascii="Calibri" w:hAnsi="Calibri" w:cs="Calibri"/>
          </w:rPr>
          <w:t>Playbook for Simplified Approaches for Creating Scenarios in VisionEval</w:t>
        </w:r>
      </w:hyperlink>
      <w:r w:rsidRPr="00312CE1">
        <w:rPr>
          <w:rFonts w:ascii="Calibri" w:hAnsi="Calibri" w:cs="Calibri"/>
        </w:rPr>
        <w:t xml:space="preserve"> offers, however, two additional factors that were not immediately apparent to the research team</w:t>
      </w:r>
      <w:r w:rsidRPr="00312CE1" w:rsidR="009F77BE">
        <w:rPr>
          <w:rFonts w:ascii="Calibri" w:hAnsi="Calibri" w:cs="Calibri"/>
        </w:rPr>
        <w:t xml:space="preserve"> and which make one consider not making unprotected acres entirely rural</w:t>
      </w:r>
      <w:r w:rsidRPr="00312CE1">
        <w:rPr>
          <w:rFonts w:ascii="Calibri" w:hAnsi="Calibri" w:cs="Calibri"/>
        </w:rPr>
        <w:t xml:space="preserve">.  </w:t>
      </w:r>
    </w:p>
    <w:p w:rsidRPr="00312CE1" w:rsidR="009F77BE" w:rsidP="007A0844" w:rsidRDefault="009F77BE" w14:paraId="4581B306" w14:textId="77777777">
      <w:pPr>
        <w:ind w:firstLine="720"/>
        <w:rPr>
          <w:rFonts w:ascii="Calibri" w:hAnsi="Calibri" w:cs="Calibri"/>
        </w:rPr>
      </w:pPr>
    </w:p>
    <w:p w:rsidRPr="00312CE1" w:rsidR="007A0844" w:rsidP="007A0844" w:rsidRDefault="007A0844" w14:paraId="5ED7FF3E" w14:textId="15DD537D">
      <w:pPr>
        <w:ind w:firstLine="720"/>
        <w:rPr>
          <w:rFonts w:ascii="Calibri" w:hAnsi="Calibri" w:cs="Calibri"/>
          <w:color w:val="000000" w:themeColor="text1"/>
        </w:rPr>
      </w:pPr>
      <w:r w:rsidRPr="00312CE1">
        <w:rPr>
          <w:rFonts w:ascii="Calibri" w:hAnsi="Calibri" w:cs="Calibri"/>
        </w:rPr>
        <w:t xml:space="preserve">One concerns the use of mixed-use </w:t>
      </w:r>
      <w:r w:rsidRPr="00312CE1" w:rsidR="00C16017">
        <w:rPr>
          <w:rFonts w:ascii="Calibri" w:hAnsi="Calibri" w:cs="Calibri"/>
        </w:rPr>
        <w:t>neighborhoods</w:t>
      </w:r>
      <w:r w:rsidRPr="00312CE1">
        <w:rPr>
          <w:rFonts w:ascii="Calibri" w:hAnsi="Calibri" w:cs="Calibri"/>
        </w:rPr>
        <w:t xml:space="preserve">, where the guidance notes that when VisionEval performs land use modeling, two key input files—intersection density and </w:t>
      </w:r>
      <w:r w:rsidRPr="00312CE1" w:rsidR="00C16017">
        <w:rPr>
          <w:rFonts w:ascii="Calibri" w:hAnsi="Calibri" w:cs="Calibri"/>
        </w:rPr>
        <w:t>proportion</w:t>
      </w:r>
      <w:r w:rsidRPr="00312CE1">
        <w:rPr>
          <w:rFonts w:ascii="Calibri" w:hAnsi="Calibri" w:cs="Calibri"/>
        </w:rPr>
        <w:t xml:space="preserve"> of development in a mixed use area—only applies to urban or town areas.  That would mean that if one designated a bzone as rural only, one would not be able to examine a policy related to having some of the bzone be mixed use in the future.  Thus rather than designating unprotected </w:t>
      </w:r>
      <w:r w:rsidRPr="00312CE1" w:rsidR="00C16017">
        <w:rPr>
          <w:rFonts w:ascii="Calibri" w:hAnsi="Calibri" w:cs="Calibri"/>
        </w:rPr>
        <w:t>areas</w:t>
      </w:r>
      <w:r w:rsidRPr="00312CE1">
        <w:rPr>
          <w:rFonts w:ascii="Calibri" w:hAnsi="Calibri" w:cs="Calibri"/>
        </w:rPr>
        <w:t xml:space="preserve"> for a bzone as rural only, one might want to have such unprotected </w:t>
      </w:r>
      <w:r w:rsidRPr="00312CE1" w:rsidR="00C16017">
        <w:rPr>
          <w:rFonts w:ascii="Calibri" w:hAnsi="Calibri" w:cs="Calibri"/>
        </w:rPr>
        <w:t>acres</w:t>
      </w:r>
      <w:r w:rsidRPr="00312CE1">
        <w:rPr>
          <w:rFonts w:ascii="Calibri" w:hAnsi="Calibri" w:cs="Calibri"/>
        </w:rPr>
        <w:t xml:space="preserve"> be rural only at present and then in the future have those unprotected acres be partly rural and partly town.  A simpler approach, however, might be to simply have the unprotected acres be partly rural and partly town, and then shift the proportion of </w:t>
      </w:r>
      <w:r w:rsidRPr="00312CE1" w:rsidR="00C16017">
        <w:rPr>
          <w:rFonts w:ascii="Calibri" w:hAnsi="Calibri" w:cs="Calibri"/>
        </w:rPr>
        <w:t>development</w:t>
      </w:r>
      <w:r w:rsidRPr="00312CE1">
        <w:rPr>
          <w:rFonts w:ascii="Calibri" w:hAnsi="Calibri" w:cs="Calibri"/>
        </w:rPr>
        <w:t xml:space="preserve"> (using </w:t>
      </w:r>
      <w:r w:rsidRPr="00312CE1">
        <w:rPr>
          <w:rFonts w:ascii="Calibri" w:hAnsi="Calibri" w:cs="Calibri"/>
          <w:color w:val="000000" w:themeColor="text1"/>
        </w:rPr>
        <w:t>bzone_urban_town_dwelling_prop) between these.</w:t>
      </w:r>
    </w:p>
    <w:p w:rsidRPr="00312CE1" w:rsidR="009F77BE" w:rsidP="007A0844" w:rsidRDefault="009F77BE" w14:paraId="5ABC9A29" w14:textId="77777777">
      <w:pPr>
        <w:ind w:firstLine="720"/>
        <w:rPr>
          <w:rFonts w:ascii="Calibri" w:hAnsi="Calibri" w:cs="Calibri"/>
          <w:color w:val="000000" w:themeColor="text1"/>
        </w:rPr>
      </w:pPr>
    </w:p>
    <w:p w:rsidRPr="00312CE1" w:rsidR="009F77BE" w:rsidP="007A0844" w:rsidRDefault="009F77BE" w14:paraId="24DAAA59" w14:textId="34D56985">
      <w:pPr>
        <w:ind w:firstLine="720"/>
        <w:rPr>
          <w:rFonts w:ascii="Calibri" w:hAnsi="Calibri" w:cs="Calibri"/>
          <w:color w:val="000000" w:themeColor="text1"/>
        </w:rPr>
      </w:pPr>
      <w:r w:rsidRPr="00312CE1">
        <w:rPr>
          <w:rFonts w:ascii="Calibri" w:hAnsi="Calibri" w:cs="Calibri"/>
          <w:color w:val="000000" w:themeColor="text1"/>
        </w:rPr>
        <w:t>The other concerns trip diversion, where the Playbook mentions that azone_prop_sov_dvmt_diverted.csv is applicable only to urban or town areas.</w:t>
      </w:r>
    </w:p>
    <w:p w:rsidRPr="00312CE1" w:rsidR="009F77BE" w:rsidP="007A0844" w:rsidRDefault="009F77BE" w14:paraId="312AF276" w14:textId="77777777">
      <w:pPr>
        <w:ind w:firstLine="720"/>
        <w:rPr>
          <w:rFonts w:ascii="Calibri" w:hAnsi="Calibri" w:cs="Calibri"/>
          <w:color w:val="000000" w:themeColor="text1"/>
        </w:rPr>
      </w:pPr>
    </w:p>
    <w:p w:rsidRPr="00312CE1" w:rsidR="009F77BE" w:rsidP="007A0844" w:rsidRDefault="009F77BE" w14:paraId="568D0C92" w14:textId="2DDB8133">
      <w:pPr>
        <w:ind w:firstLine="720"/>
        <w:rPr>
          <w:rFonts w:ascii="Calibri" w:hAnsi="Calibri" w:cs="Calibri"/>
          <w:color w:val="000000" w:themeColor="text1"/>
        </w:rPr>
      </w:pPr>
      <w:r w:rsidRPr="00312CE1">
        <w:rPr>
          <w:rFonts w:ascii="Calibri" w:hAnsi="Calibri" w:cs="Calibri"/>
          <w:color w:val="000000" w:themeColor="text1"/>
        </w:rPr>
        <w:t xml:space="preserve">Accordingly, to provide flexibility, the approach that was used was </w:t>
      </w:r>
      <w:r w:rsidRPr="00312CE1" w:rsidR="005A17F4">
        <w:rPr>
          <w:rFonts w:ascii="Calibri" w:hAnsi="Calibri" w:cs="Calibri"/>
          <w:color w:val="000000" w:themeColor="text1"/>
        </w:rPr>
        <w:t>for rural zones to designate half their unprotected areas as rural and other half of their unprotected areas as town.  It may be appropriate to change these percentages in the future, but for now it appears one can thus use the attribute bzone_urban_town_dwelling_prop to then shift growth between rural areas and towns.</w:t>
      </w:r>
    </w:p>
    <w:p w:rsidRPr="00312CE1" w:rsidR="007A0844" w:rsidP="007A0844" w:rsidRDefault="007A0844" w14:paraId="663E4E7B" w14:textId="77777777">
      <w:pPr>
        <w:ind w:firstLine="720"/>
        <w:rPr>
          <w:rFonts w:ascii="Calibri" w:hAnsi="Calibri" w:cs="Calibri"/>
          <w:color w:val="000000" w:themeColor="text1"/>
        </w:rPr>
      </w:pPr>
    </w:p>
    <w:p w:rsidRPr="00312CE1" w:rsidR="009F77BE" w:rsidRDefault="009F77BE" w14:paraId="3E860D4A" w14:textId="77777777">
      <w:pPr>
        <w:spacing w:line="276" w:lineRule="auto"/>
        <w:rPr>
          <w:rFonts w:ascii="Calibri" w:hAnsi="Calibri" w:cs="Calibri"/>
          <w:b/>
          <w:bCs/>
        </w:rPr>
      </w:pPr>
      <w:r w:rsidRPr="00312CE1">
        <w:rPr>
          <w:rFonts w:ascii="Calibri" w:hAnsi="Calibri" w:cs="Calibri"/>
          <w:b/>
          <w:bCs/>
        </w:rPr>
        <w:t>Sources</w:t>
      </w:r>
    </w:p>
    <w:p w:rsidRPr="00312CE1" w:rsidR="00B072FF" w:rsidRDefault="00B072FF" w14:paraId="65EA88D3" w14:textId="77777777">
      <w:pPr>
        <w:spacing w:line="276" w:lineRule="auto"/>
        <w:rPr>
          <w:rFonts w:ascii="Calibri" w:hAnsi="Calibri" w:cs="Calibri"/>
          <w:b/>
          <w:bCs/>
        </w:rPr>
      </w:pPr>
    </w:p>
    <w:p w:rsidRPr="00312CE1" w:rsidR="009F77BE" w:rsidP="009F77BE" w:rsidRDefault="009F77BE" w14:paraId="37B8ACDF" w14:textId="77777777">
      <w:pPr>
        <w:rPr>
          <w:rFonts w:ascii="Calibri" w:hAnsi="Calibri" w:cs="Calibri"/>
          <w:color w:val="000000" w:themeColor="text1"/>
        </w:rPr>
      </w:pPr>
      <w:r w:rsidRPr="00312CE1">
        <w:rPr>
          <w:rFonts w:ascii="Calibri" w:hAnsi="Calibri" w:cs="Calibri"/>
          <w:color w:val="000000" w:themeColor="text1"/>
        </w:rPr>
        <w:t>ESRI.  Urban and Rural Population in the U.S. (2020 Census) – Overview.  https://www.maps.arcgis.com/home/item.html?id=0f98fc66a9fa4f94953718578cbd77a8.  Accessed March 10, 2026.</w:t>
      </w:r>
    </w:p>
    <w:p w:rsidRPr="007A0844" w:rsidR="007A0844" w:rsidP="007A0844" w:rsidRDefault="007A0844" w14:paraId="76298642" w14:textId="77777777">
      <w:pPr>
        <w:ind w:firstLine="720"/>
        <w:rPr>
          <w:rFonts w:asciiTheme="majorHAnsi" w:hAnsiTheme="majorHAnsi" w:cstheme="majorHAnsi"/>
        </w:rPr>
      </w:pPr>
    </w:p>
    <w:p w:rsidR="006957F8" w:rsidP="00E1293E" w:rsidRDefault="006957F8" w14:paraId="45133868" w14:textId="77777777">
      <w:pPr>
        <w:rPr>
          <w:rFonts w:ascii="Calibri" w:hAnsi="Calibri" w:cs="Calibri"/>
          <w:b/>
          <w:bCs/>
          <w:color w:val="000000" w:themeColor="text1"/>
        </w:rPr>
      </w:pPr>
    </w:p>
    <w:p w:rsidRPr="003F2F8D" w:rsidR="00E1293E" w:rsidP="00E1293E" w:rsidRDefault="00E1293E" w14:paraId="755DFFD3" w14:textId="4B277DD5">
      <w:pPr>
        <w:rPr>
          <w:rFonts w:ascii="Calibri" w:hAnsi="Calibri" w:cs="Calibri"/>
          <w:b/>
          <w:bCs/>
          <w:color w:val="000000" w:themeColor="text1"/>
        </w:rPr>
      </w:pPr>
      <w:r w:rsidRPr="003F2F8D">
        <w:rPr>
          <w:rFonts w:ascii="Calibri" w:hAnsi="Calibri" w:cs="Calibri"/>
          <w:b/>
          <w:bCs/>
          <w:color w:val="000000" w:themeColor="text1"/>
        </w:rPr>
        <w:t xml:space="preserve">Scrap </w:t>
      </w:r>
      <w:r>
        <w:rPr>
          <w:rFonts w:ascii="Calibri" w:hAnsi="Calibri" w:cs="Calibri"/>
          <w:b/>
          <w:bCs/>
          <w:color w:val="000000" w:themeColor="text1"/>
        </w:rPr>
        <w:t>f</w:t>
      </w:r>
      <w:r w:rsidRPr="003F2F8D">
        <w:rPr>
          <w:rFonts w:ascii="Calibri" w:hAnsi="Calibri" w:cs="Calibri"/>
          <w:b/>
          <w:bCs/>
          <w:color w:val="000000" w:themeColor="text1"/>
        </w:rPr>
        <w:t>or Internal Use</w:t>
      </w:r>
    </w:p>
    <w:p w:rsidRPr="00524F1B" w:rsidR="00E1293E" w:rsidP="00E1293E" w:rsidRDefault="00E1293E" w14:paraId="322C3F9C" w14:textId="77777777">
      <w:pPr>
        <w:tabs>
          <w:tab w:val="num" w:pos="720"/>
        </w:tabs>
        <w:rPr>
          <w:rFonts w:ascii="Calibri" w:hAnsi="Calibri" w:cs="Calibri"/>
        </w:rPr>
      </w:pPr>
    </w:p>
    <w:p w:rsidRPr="00524F1B" w:rsidR="00E1293E" w:rsidP="00E1293E" w:rsidRDefault="00E1293E" w14:paraId="7B53A0AF" w14:textId="77777777">
      <w:pPr>
        <w:pStyle w:val="ListParagraph"/>
        <w:numPr>
          <w:ilvl w:val="3"/>
          <w:numId w:val="3"/>
        </w:numPr>
        <w:tabs>
          <w:tab w:val="num" w:pos="720"/>
        </w:tabs>
        <w:spacing w:line="240" w:lineRule="auto"/>
        <w:ind w:left="360"/>
        <w:rPr>
          <w:rFonts w:ascii="Calibri" w:hAnsi="Calibri" w:cs="Calibri"/>
          <w:sz w:val="24"/>
          <w:szCs w:val="24"/>
        </w:rPr>
      </w:pPr>
      <w:r w:rsidRPr="00524F1B">
        <w:rPr>
          <w:rFonts w:ascii="Calibri" w:hAnsi="Calibri" w:cs="Calibri"/>
          <w:sz w:val="24"/>
          <w:szCs w:val="24"/>
          <w:lang w:val="en-US"/>
        </w:rPr>
        <w:t xml:space="preserve">The link </w:t>
      </w:r>
      <w:hyperlink w:tgtFrame="_blank" w:history="1" w:anchor="verspm-inputs" r:id="rId14">
        <w:r w:rsidRPr="00524F1B">
          <w:rPr>
            <w:rStyle w:val="Hyperlink"/>
            <w:rFonts w:ascii="Calibri" w:hAnsi="Calibri" w:cs="Calibri"/>
            <w:sz w:val="24"/>
            <w:szCs w:val="24"/>
            <w:lang w:val="en-US"/>
          </w:rPr>
          <w:t>https://visioneval.github.io/docs/model-inputs.html#verspm-inputs</w:t>
        </w:r>
      </w:hyperlink>
      <w:r w:rsidRPr="00524F1B">
        <w:rPr>
          <w:rFonts w:ascii="Calibri" w:hAnsi="Calibri" w:cs="Calibri"/>
          <w:sz w:val="24"/>
          <w:szCs w:val="24"/>
          <w:lang w:val="en-US"/>
        </w:rPr>
        <w:t xml:space="preserve"> has a definition for each CSV file </w:t>
      </w:r>
    </w:p>
    <w:p w:rsidRPr="00524F1B" w:rsidR="00E1293E" w:rsidP="00E1293E" w:rsidRDefault="00E1293E" w14:paraId="5248429F" w14:textId="77777777">
      <w:pPr>
        <w:pStyle w:val="ListParagraph"/>
        <w:spacing w:line="240" w:lineRule="auto"/>
        <w:ind w:left="360"/>
        <w:rPr>
          <w:rFonts w:ascii="Calibri" w:hAnsi="Calibri" w:cs="Calibri"/>
          <w:sz w:val="24"/>
          <w:szCs w:val="24"/>
        </w:rPr>
      </w:pPr>
    </w:p>
    <w:p w:rsidRPr="00524F1B" w:rsidR="00E1293E" w:rsidP="00E1293E" w:rsidRDefault="00E1293E" w14:paraId="3930C114" w14:textId="7C3E401B">
      <w:pPr>
        <w:pStyle w:val="ListParagraph"/>
        <w:numPr>
          <w:ilvl w:val="3"/>
          <w:numId w:val="3"/>
        </w:numPr>
        <w:tabs>
          <w:tab w:val="num" w:pos="720"/>
        </w:tabs>
        <w:spacing w:line="240" w:lineRule="auto"/>
        <w:ind w:left="360"/>
        <w:rPr>
          <w:rFonts w:ascii="Calibri" w:hAnsi="Calibri" w:cs="Calibri"/>
          <w:sz w:val="24"/>
          <w:szCs w:val="24"/>
          <w:lang w:val="en-US"/>
        </w:rPr>
      </w:pPr>
      <w:r w:rsidRPr="00524F1B">
        <w:rPr>
          <w:rFonts w:ascii="Calibri" w:hAnsi="Calibri" w:cs="Calibri"/>
          <w:sz w:val="24"/>
          <w:szCs w:val="24"/>
          <w:lang w:val="en-US"/>
        </w:rPr>
        <w:t>The document Task 7.2 Simplified Scenario Development guide is available at this link: </w:t>
      </w:r>
      <w:hyperlink w:tgtFrame="_blank" w:history="1" r:id="rId15">
        <w:r w:rsidRPr="00524F1B">
          <w:rPr>
            <w:rStyle w:val="Hyperlink"/>
            <w:rFonts w:ascii="Calibri" w:hAnsi="Calibri" w:cs="Calibri"/>
            <w:sz w:val="24"/>
            <w:szCs w:val="24"/>
            <w:lang w:val="en-US"/>
          </w:rPr>
          <w:t>A Playbook for Simplified Approaches for Creating Scenarios in VisionEval</w:t>
        </w:r>
      </w:hyperlink>
      <w:r>
        <w:t xml:space="preserve"> but does not mention bzone_unprotected_area</w:t>
      </w:r>
    </w:p>
    <w:p w:rsidRPr="00524F1B" w:rsidR="00E1293E" w:rsidP="00E1293E" w:rsidRDefault="00E1293E" w14:paraId="1E6BE4A6" w14:textId="77777777">
      <w:pPr>
        <w:pStyle w:val="ListParagraph"/>
        <w:spacing w:line="240" w:lineRule="auto"/>
        <w:rPr>
          <w:rFonts w:ascii="Calibri" w:hAnsi="Calibri" w:cs="Calibri"/>
          <w:sz w:val="24"/>
          <w:szCs w:val="24"/>
          <w:lang w:val="en-US"/>
        </w:rPr>
      </w:pPr>
    </w:p>
    <w:p w:rsidRPr="000C3E15" w:rsidR="00E1293E" w:rsidP="0F0B5A8E" w:rsidRDefault="00E1293E" w14:paraId="625A22E2" w14:textId="5DECC922">
      <w:pPr>
        <w:pStyle w:val="ListParagraph"/>
        <w:numPr>
          <w:ilvl w:val="3"/>
          <w:numId w:val="3"/>
        </w:numPr>
        <w:tabs>
          <w:tab w:val="num" w:pos="720"/>
        </w:tabs>
        <w:spacing w:line="240" w:lineRule="auto"/>
        <w:ind w:left="360"/>
        <w:rPr>
          <w:rFonts w:ascii="Calibri" w:hAnsi="Calibri" w:eastAsia="Times New Roman" w:cs="Calibri"/>
          <w:sz w:val="24"/>
          <w:szCs w:val="24"/>
          <w:lang w:val="en-US"/>
        </w:rPr>
      </w:pPr>
      <w:r w:rsidRPr="0F0B5A8E">
        <w:rPr>
          <w:rFonts w:ascii="Calibri" w:hAnsi="Calibri" w:cs="Calibri"/>
          <w:sz w:val="24"/>
          <w:szCs w:val="24"/>
          <w:lang w:val="en-US"/>
        </w:rPr>
        <w:t>This used the Smart Location Database at D:\VE2025\BlockGroupsBZones\Align</w:t>
      </w:r>
      <w:r w:rsidRPr="0F0B5A8E" w:rsidR="00B072FF">
        <w:rPr>
          <w:rFonts w:ascii="Calibri" w:hAnsi="Calibri" w:cs="Calibri"/>
          <w:sz w:val="24"/>
          <w:szCs w:val="24"/>
          <w:lang w:val="en-US"/>
        </w:rPr>
        <w:t>.  The left item was done first (to get total acres) and the right item was done second (get initial rural, urban, town categories).</w:t>
      </w:r>
    </w:p>
    <w:p w:rsidRPr="000C3E15" w:rsidR="006957F8" w:rsidP="00E1293E" w:rsidRDefault="006957F8" w14:paraId="2E1B1C60" w14:textId="77777777">
      <w:pPr>
        <w:pStyle w:val="ListParagraph"/>
        <w:rPr>
          <w:rFonts w:ascii="Calibri" w:hAnsi="Calibri" w:eastAsia="Times New Roman" w:cs="Calibri"/>
          <w:sz w:val="24"/>
          <w:szCs w:val="24"/>
        </w:rPr>
      </w:pPr>
    </w:p>
    <w:p w:rsidR="00E1293E" w:rsidP="00E1293E" w:rsidRDefault="00E1293E" w14:paraId="0C51BACE" w14:textId="7BAA6FE4">
      <w:pPr>
        <w:ind w:firstLine="360"/>
        <w:rPr>
          <w:noProof/>
        </w:rPr>
      </w:pPr>
      <w:r w:rsidRPr="00E1293E">
        <w:rPr>
          <w:rFonts w:ascii="Calibri" w:hAnsi="Calibri" w:cs="Calibri"/>
          <w:noProof/>
        </w:rPr>
        <w:drawing>
          <wp:inline distT="0" distB="0" distL="0" distR="0" wp14:anchorId="289217C8" wp14:editId="2FD1BD9E">
            <wp:extent cx="3267531" cy="3391373"/>
            <wp:effectExtent l="0" t="0" r="9525" b="0"/>
            <wp:docPr id="509048932"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48932" name="Picture 1" descr="Graphical user interface, application&#10;&#10;AI-generated content may be incorrect."/>
                    <pic:cNvPicPr/>
                  </pic:nvPicPr>
                  <pic:blipFill>
                    <a:blip r:embed="rId16"/>
                    <a:stretch>
                      <a:fillRect/>
                    </a:stretch>
                  </pic:blipFill>
                  <pic:spPr>
                    <a:xfrm>
                      <a:off x="0" y="0"/>
                      <a:ext cx="3267531" cy="3391373"/>
                    </a:xfrm>
                    <a:prstGeom prst="rect">
                      <a:avLst/>
                    </a:prstGeom>
                  </pic:spPr>
                </pic:pic>
              </a:graphicData>
            </a:graphic>
          </wp:inline>
        </w:drawing>
      </w:r>
      <w:r w:rsidRPr="00AB07A7" w:rsidR="00AB07A7">
        <w:rPr>
          <w:noProof/>
        </w:rPr>
        <w:t xml:space="preserve"> </w:t>
      </w:r>
      <w:r w:rsidRPr="00AB07A7" w:rsidR="00AB07A7">
        <w:rPr>
          <w:rFonts w:ascii="Calibri" w:hAnsi="Calibri" w:cs="Calibri"/>
          <w:noProof/>
        </w:rPr>
        <w:drawing>
          <wp:inline distT="0" distB="0" distL="0" distR="0" wp14:anchorId="0646BB43" wp14:editId="3AA539E1">
            <wp:extent cx="2454552" cy="4043626"/>
            <wp:effectExtent l="0" t="0" r="3175" b="0"/>
            <wp:docPr id="993383382" name="Picture 1" descr="Graphical user interface,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83382" name="Picture 1" descr="Graphical user interface, application, email&#10;&#10;AI-generated content may be incorrect."/>
                    <pic:cNvPicPr/>
                  </pic:nvPicPr>
                  <pic:blipFill>
                    <a:blip r:embed="rId17"/>
                    <a:stretch>
                      <a:fillRect/>
                    </a:stretch>
                  </pic:blipFill>
                  <pic:spPr>
                    <a:xfrm>
                      <a:off x="0" y="0"/>
                      <a:ext cx="2455692" cy="4045504"/>
                    </a:xfrm>
                    <a:prstGeom prst="rect">
                      <a:avLst/>
                    </a:prstGeom>
                  </pic:spPr>
                </pic:pic>
              </a:graphicData>
            </a:graphic>
          </wp:inline>
        </w:drawing>
      </w:r>
    </w:p>
    <w:p w:rsidR="009F77BE" w:rsidP="00B072FF" w:rsidRDefault="009F77BE" w14:paraId="69C8EB5D" w14:textId="77777777">
      <w:pPr>
        <w:rPr>
          <w:noProof/>
        </w:rPr>
      </w:pPr>
    </w:p>
    <w:p w:rsidR="00B072FF" w:rsidP="00B072FF" w:rsidRDefault="00B072FF" w14:paraId="250CB3D9" w14:textId="4FB7AA4E">
      <w:pPr>
        <w:pStyle w:val="ListParagraph"/>
        <w:numPr>
          <w:ilvl w:val="0"/>
          <w:numId w:val="3"/>
        </w:numPr>
        <w:rPr>
          <w:noProof/>
        </w:rPr>
      </w:pPr>
      <w:r>
        <w:rPr>
          <w:noProof/>
        </w:rPr>
        <w:t xml:space="preserve">Then Excel processing was done in the </w:t>
      </w:r>
      <w:r w:rsidRPr="00B072FF">
        <w:rPr>
          <w:noProof/>
        </w:rPr>
        <w:t>bzone_unprotected_area.xlsx</w:t>
      </w:r>
      <w:r>
        <w:rPr>
          <w:noProof/>
        </w:rPr>
        <w:t xml:space="preserve"> to get the bzone data for each bzone shown in columns E, M, N, and O.</w:t>
      </w:r>
    </w:p>
    <w:p w:rsidR="00B072FF" w:rsidP="00B072FF" w:rsidRDefault="00B072FF" w14:paraId="29158B98" w14:textId="77777777">
      <w:pPr>
        <w:ind w:left="360"/>
        <w:rPr>
          <w:noProof/>
        </w:rPr>
      </w:pPr>
    </w:p>
    <w:p w:rsidR="00B072FF" w:rsidP="00B072FF" w:rsidRDefault="00B072FF" w14:paraId="13A48C18" w14:textId="77777777">
      <w:pPr>
        <w:ind w:left="360"/>
        <w:rPr>
          <w:noProof/>
        </w:rPr>
      </w:pPr>
      <w:r>
        <w:rPr>
          <w:noProof/>
        </w:rPr>
        <w:t>Examples of old pictures are below.</w:t>
      </w:r>
    </w:p>
    <w:p w:rsidR="009F77BE" w:rsidP="00B072FF" w:rsidRDefault="009F77BE" w14:paraId="3953D09A" w14:textId="7C6040D8">
      <w:pPr>
        <w:ind w:left="360"/>
        <w:rPr>
          <w:rFonts w:ascii="Calibri" w:hAnsi="Calibri" w:cs="Calibri"/>
        </w:rPr>
      </w:pPr>
      <w:r w:rsidRPr="009F77BE">
        <w:rPr>
          <w:rFonts w:ascii="Calibri" w:hAnsi="Calibri" w:cs="Calibri"/>
          <w:noProof/>
        </w:rPr>
        <w:drawing>
          <wp:inline distT="0" distB="0" distL="0" distR="0" wp14:anchorId="7CB297C8" wp14:editId="50012967">
            <wp:extent cx="2170998" cy="1057959"/>
            <wp:effectExtent l="0" t="0" r="1270" b="8890"/>
            <wp:docPr id="42819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90865" name=""/>
                    <pic:cNvPicPr/>
                  </pic:nvPicPr>
                  <pic:blipFill>
                    <a:blip r:embed="rId18"/>
                    <a:stretch>
                      <a:fillRect/>
                    </a:stretch>
                  </pic:blipFill>
                  <pic:spPr>
                    <a:xfrm>
                      <a:off x="0" y="0"/>
                      <a:ext cx="2177839" cy="1061293"/>
                    </a:xfrm>
                    <a:prstGeom prst="rect">
                      <a:avLst/>
                    </a:prstGeom>
                  </pic:spPr>
                </pic:pic>
              </a:graphicData>
            </a:graphic>
          </wp:inline>
        </w:drawing>
      </w:r>
      <w:r w:rsidR="00B072FF">
        <w:rPr>
          <w:rFonts w:ascii="Calibri" w:hAnsi="Calibri" w:cs="Calibri"/>
        </w:rPr>
        <w:t xml:space="preserve"> </w:t>
      </w:r>
      <w:r w:rsidRPr="009F77BE">
        <w:rPr>
          <w:rFonts w:ascii="Calibri" w:hAnsi="Calibri" w:cs="Calibri"/>
          <w:noProof/>
        </w:rPr>
        <w:drawing>
          <wp:inline distT="0" distB="0" distL="0" distR="0" wp14:anchorId="48C36B90" wp14:editId="612023A2">
            <wp:extent cx="1368795" cy="1170387"/>
            <wp:effectExtent l="0" t="0" r="3175" b="0"/>
            <wp:docPr id="1533318550" name="Picture 1"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18550" name="Picture 1" descr="Map&#10;&#10;AI-generated content may be incorrect."/>
                    <pic:cNvPicPr/>
                  </pic:nvPicPr>
                  <pic:blipFill>
                    <a:blip r:embed="rId19"/>
                    <a:stretch>
                      <a:fillRect/>
                    </a:stretch>
                  </pic:blipFill>
                  <pic:spPr>
                    <a:xfrm>
                      <a:off x="0" y="0"/>
                      <a:ext cx="1377183" cy="1177559"/>
                    </a:xfrm>
                    <a:prstGeom prst="rect">
                      <a:avLst/>
                    </a:prstGeom>
                  </pic:spPr>
                </pic:pic>
              </a:graphicData>
            </a:graphic>
          </wp:inline>
        </w:drawing>
      </w:r>
    </w:p>
    <w:p w:rsidR="00E1293E" w:rsidP="00E1293E" w:rsidRDefault="00E1293E" w14:paraId="36781CE5" w14:textId="77777777">
      <w:pPr>
        <w:ind w:firstLine="360"/>
        <w:rPr>
          <w:rFonts w:ascii="Calibri" w:hAnsi="Calibri" w:cs="Calibri"/>
        </w:rPr>
      </w:pPr>
    </w:p>
    <w:p w:rsidR="00E27AB4" w:rsidRDefault="001679D3" w14:paraId="41B26274" w14:textId="60DEFE4F">
      <w:r>
        <w:t>Metadata</w:t>
      </w:r>
      <w:r w:rsidR="00B072FF">
        <w:t xml:space="preserve"> from ESRI source.</w:t>
      </w:r>
    </w:p>
    <w:p w:rsidR="00B072FF" w:rsidRDefault="00B072FF" w14:paraId="53A07217" w14:textId="77777777"/>
    <w:p w:rsidRPr="001679D3" w:rsidR="001679D3" w:rsidP="001679D3" w:rsidRDefault="001679D3" w14:paraId="0BFAB59B" w14:textId="77777777">
      <w:pPr>
        <w:rPr>
          <w:b/>
          <w:bCs/>
        </w:rPr>
      </w:pPr>
      <w:r w:rsidRPr="001679D3">
        <w:rPr>
          <w:b/>
          <w:bCs/>
        </w:rPr>
        <w:t>Urban and Rural Population in the U.S. (2020 Census)</w:t>
      </w:r>
    </w:p>
    <w:p w:rsidRPr="001679D3" w:rsidR="001679D3" w:rsidP="001679D3" w:rsidRDefault="001679D3" w14:paraId="2C15C1AB" w14:textId="77777777">
      <w:r w:rsidRPr="001679D3">
        <w:t>Tags</w:t>
      </w:r>
      <w:r w:rsidRPr="001679D3">
        <w:t> </w:t>
      </w:r>
      <w:r w:rsidRPr="001679D3">
        <w:t xml:space="preserve"> Demographics, Census, Census Bureau, United States, U.S., Total Population, P1, H1, H3, P2, P3, P5, P12, P13, P17, PCT12, Nation, State, County, Census Tract, Block Group, predominance, USA</w:t>
      </w:r>
    </w:p>
    <w:p w:rsidRPr="001679D3" w:rsidR="001679D3" w:rsidP="001679D3" w:rsidRDefault="001679D3" w14:paraId="59B3861A" w14:textId="77777777">
      <w:pPr>
        <w:rPr>
          <w:b/>
          <w:bCs/>
        </w:rPr>
      </w:pPr>
      <w:r w:rsidRPr="001679D3">
        <w:rPr>
          <w:b/>
          <w:bCs/>
        </w:rPr>
        <w:t>Summary</w:t>
      </w:r>
    </w:p>
    <w:p w:rsidRPr="001679D3" w:rsidR="001679D3" w:rsidP="001679D3" w:rsidRDefault="001679D3" w14:paraId="572C6A23" w14:textId="77777777">
      <w:r w:rsidRPr="001679D3">
        <w:t>This map's colors indicate which population is larger in each area: urban or rural. Data is from the U.S. Census Bureau’s 2020 Census Demographic and Housing Characteristics. The map's layers contain total population counts by sex, age, and race groups for Nation, State, County, Census Tract, and Block Group in the United States and Puerto Rico.</w:t>
      </w:r>
    </w:p>
    <w:p w:rsidRPr="001679D3" w:rsidR="001679D3" w:rsidP="001679D3" w:rsidRDefault="001679D3" w14:paraId="5DF0A09F" w14:textId="77777777">
      <w:pPr>
        <w:rPr>
          <w:b/>
          <w:bCs/>
        </w:rPr>
      </w:pPr>
      <w:r w:rsidRPr="001679D3">
        <w:rPr>
          <w:b/>
          <w:bCs/>
        </w:rPr>
        <w:t>Description</w:t>
      </w:r>
    </w:p>
    <w:p w:rsidRPr="001679D3" w:rsidR="001679D3" w:rsidP="001679D3" w:rsidRDefault="001679D3" w14:paraId="734EE0C8" w14:textId="77777777">
      <w:r w:rsidRPr="001679D3">
        <w:t>This map's colors indicate which population is larger in each area: urban (green) or rural (yellow). The map's layers contain total population counts by sex, age, and race groups for Nation, State, County, Census Tract, and Block Group in the United States and Puerto Rico.</w:t>
      </w:r>
      <w:r w:rsidRPr="001679D3">
        <w:br/>
      </w:r>
      <w:r w:rsidRPr="001679D3">
        <w:t>The U.S. Census designates each census block as part of an urban area or as rural. Larger geographies in this map such as block group, tract, county and state can therefore have a mix of urban and rural population. This map illustrates the 100% urban areas in dark green, and 100% rural areas in dark yellow. Areas with mixed urban/rural population have softer shades of green or yellow, to give a visual indication of where change may be happening. From the Census:</w:t>
      </w:r>
    </w:p>
    <w:p w:rsidRPr="001679D3" w:rsidR="001679D3" w:rsidP="001679D3" w:rsidRDefault="001679D3" w14:paraId="34123D83" w14:textId="77777777">
      <w:r w:rsidRPr="001679D3">
        <w:t> </w:t>
      </w:r>
    </w:p>
    <w:p w:rsidRPr="001679D3" w:rsidR="001679D3" w:rsidP="001679D3" w:rsidRDefault="001679D3" w14:paraId="3ACE90F3" w14:textId="77777777">
      <w:pPr>
        <w:numPr>
          <w:ilvl w:val="0"/>
          <w:numId w:val="8"/>
        </w:numPr>
      </w:pPr>
      <w:r w:rsidRPr="001679D3">
        <w:rPr>
          <w:i/>
          <w:iCs/>
        </w:rPr>
        <w:t>"The Census Bureau’s urban-rural classification is a delineation of geographic areas, identifying both individual urban areas and the rural area of the nation. The Census Bureau’s urban areas represent densely developed territory, and encompass residential, commercial, and other non-residential urban land uses. The Census Bureau delineates urban areas after each decennial census by applying specified criteria to decennial census and other data. Rural encompasses all population, housing, and territory not included within an urban area.</w:t>
      </w:r>
    </w:p>
    <w:p w:rsidRPr="001679D3" w:rsidR="001679D3" w:rsidP="001679D3" w:rsidRDefault="001679D3" w14:paraId="219B8342" w14:textId="77777777">
      <w:r w:rsidRPr="001679D3">
        <w:t> </w:t>
      </w:r>
    </w:p>
    <w:p w:rsidRPr="001679D3" w:rsidR="001679D3" w:rsidP="001679D3" w:rsidRDefault="001679D3" w14:paraId="660751AB" w14:textId="77777777">
      <w:r w:rsidRPr="001679D3">
        <w:t> </w:t>
      </w:r>
    </w:p>
    <w:p w:rsidRPr="001679D3" w:rsidR="001679D3" w:rsidP="001679D3" w:rsidRDefault="001679D3" w14:paraId="41D4ED08" w14:textId="77777777">
      <w:r w:rsidRPr="001679D3">
        <w:t> </w:t>
      </w:r>
    </w:p>
    <w:p w:rsidRPr="001679D3" w:rsidR="001679D3" w:rsidP="001679D3" w:rsidRDefault="001679D3" w14:paraId="20961291" w14:textId="77777777">
      <w:pPr>
        <w:numPr>
          <w:ilvl w:val="0"/>
          <w:numId w:val="9"/>
        </w:numPr>
      </w:pPr>
      <w:r w:rsidRPr="001679D3">
        <w:rPr>
          <w:i/>
          <w:iCs/>
        </w:rPr>
        <w:t xml:space="preserve">For the 2020 Census, an urban area will comprise a densely settled core of census blocks that meet minimum housing unit density and/or population density requirements. This includes adjacent territory containing non-residential urban land uses. To qualify as an urban area, the territory identified according to criteria must encompass at least 2,000 housing units or have a population of at least 5,000."  </w:t>
      </w:r>
      <w:hyperlink w:tgtFrame="_blank" w:history="1" r:id="rId20">
        <w:r w:rsidRPr="001679D3">
          <w:rPr>
            <w:rStyle w:val="Hyperlink"/>
            <w:i/>
            <w:iCs/>
          </w:rPr>
          <w:t>Source</w:t>
        </w:r>
      </w:hyperlink>
    </w:p>
    <w:p w:rsidRPr="001679D3" w:rsidR="001679D3" w:rsidP="001679D3" w:rsidRDefault="001679D3" w14:paraId="3853032B" w14:textId="77777777">
      <w:r w:rsidRPr="001679D3">
        <w:t> </w:t>
      </w:r>
    </w:p>
    <w:p w:rsidRPr="001679D3" w:rsidR="001679D3" w:rsidP="001679D3" w:rsidRDefault="001679D3" w14:paraId="63AD4ED4" w14:textId="77777777">
      <w:r w:rsidRPr="001679D3">
        <w:rPr>
          <w:b/>
          <w:bCs/>
        </w:rPr>
        <w:t>About the data</w:t>
      </w:r>
    </w:p>
    <w:p w:rsidRPr="001679D3" w:rsidR="001679D3" w:rsidP="001679D3" w:rsidRDefault="001679D3" w14:paraId="0AB5FC6D" w14:textId="77777777">
      <w:r w:rsidRPr="001679D3">
        <w:br/>
      </w:r>
      <w:r w:rsidRPr="001679D3">
        <w:t> </w:t>
      </w:r>
    </w:p>
    <w:p w:rsidRPr="001679D3" w:rsidR="001679D3" w:rsidP="001679D3" w:rsidRDefault="001679D3" w14:paraId="02A19A2C" w14:textId="77777777">
      <w:r w:rsidRPr="001679D3">
        <w:t>You can use this map as is and you can also modify it to use other attributes included in its layers. </w:t>
      </w:r>
    </w:p>
    <w:p w:rsidRPr="001679D3" w:rsidR="001679D3" w:rsidP="001679D3" w:rsidRDefault="001679D3" w14:paraId="0CA442C9" w14:textId="77777777">
      <w:r w:rsidRPr="001679D3">
        <w:br/>
      </w:r>
      <w:r w:rsidRPr="001679D3">
        <w:t> </w:t>
      </w:r>
    </w:p>
    <w:p w:rsidRPr="001679D3" w:rsidR="001679D3" w:rsidP="001679D3" w:rsidRDefault="001679D3" w14:paraId="14A2C05D" w14:textId="77777777">
      <w:r w:rsidRPr="001679D3">
        <w:t>This map's layers contain total population counts by sex, age, and race groups data from the </w:t>
      </w:r>
      <w:hyperlink w:tgtFrame="_blank" w:history="1" w:anchor="dhc" r:id="rId21">
        <w:r w:rsidRPr="001679D3">
          <w:rPr>
            <w:rStyle w:val="Hyperlink"/>
          </w:rPr>
          <w:t>2020 Census Demographic and Housing Characteristics</w:t>
        </w:r>
      </w:hyperlink>
      <w:r w:rsidRPr="001679D3">
        <w:t>. This is shown by Nation, State, County, Census Tract, Block Group boundaries. Each geography layer contains a common set of Census counts based on available attributes from the U.S. Census Bureau. There are also additional calculated attributes related to this topic, which can be mapped or used within analysis.</w:t>
      </w:r>
      <w:r w:rsidRPr="001679D3">
        <w:br/>
      </w:r>
      <w:r w:rsidRPr="001679D3">
        <w:t> </w:t>
      </w:r>
    </w:p>
    <w:p w:rsidRPr="001679D3" w:rsidR="001679D3" w:rsidP="001679D3" w:rsidRDefault="001679D3" w14:paraId="42BA61C1" w14:textId="77777777">
      <w:r w:rsidRPr="001679D3">
        <w:t> </w:t>
      </w:r>
    </w:p>
    <w:p w:rsidRPr="001679D3" w:rsidR="001679D3" w:rsidP="001679D3" w:rsidRDefault="001679D3" w14:paraId="0344F9A1" w14:textId="77777777">
      <w:r w:rsidRPr="001679D3">
        <w:rPr>
          <w:b/>
          <w:bCs/>
        </w:rPr>
        <w:t>Vintage of boundaries and attributes</w:t>
      </w:r>
      <w:r w:rsidRPr="001679D3">
        <w:t>: 2020 </w:t>
      </w:r>
    </w:p>
    <w:p w:rsidRPr="001679D3" w:rsidR="001679D3" w:rsidP="001679D3" w:rsidRDefault="001679D3" w14:paraId="08293C74" w14:textId="77777777">
      <w:r w:rsidRPr="001679D3">
        <w:rPr>
          <w:b/>
          <w:bCs/>
        </w:rPr>
        <w:t>Demographic and Housing Characteristics Table(s)</w:t>
      </w:r>
      <w:r w:rsidRPr="001679D3">
        <w:t>: P1, H1, H3, P2, P3, P5, P12, P13, P17, PCT12 (Not all lines of these DHC tables are available in this feature layer.)</w:t>
      </w:r>
    </w:p>
    <w:p w:rsidRPr="001679D3" w:rsidR="001679D3" w:rsidP="001679D3" w:rsidRDefault="001679D3" w14:paraId="3100F301" w14:textId="77777777">
      <w:r w:rsidRPr="001679D3">
        <w:rPr>
          <w:b/>
          <w:bCs/>
        </w:rPr>
        <w:t>Data downloaded from</w:t>
      </w:r>
      <w:r w:rsidRPr="001679D3">
        <w:t>: </w:t>
      </w:r>
      <w:hyperlink w:tgtFrame="_blank" w:history="1" r:id="rId22">
        <w:r w:rsidRPr="001679D3">
          <w:rPr>
            <w:rStyle w:val="Hyperlink"/>
          </w:rPr>
          <w:t>U.S. Census Bureau’s data.census.gov site</w:t>
        </w:r>
      </w:hyperlink>
    </w:p>
    <w:p w:rsidRPr="001679D3" w:rsidR="001679D3" w:rsidP="001679D3" w:rsidRDefault="001679D3" w14:paraId="0C773510" w14:textId="77777777">
      <w:r w:rsidRPr="001679D3">
        <w:rPr>
          <w:b/>
          <w:bCs/>
        </w:rPr>
        <w:t>Date the Data was Downloaded</w:t>
      </w:r>
      <w:r w:rsidRPr="001679D3">
        <w:t>: May 25, 2023</w:t>
      </w:r>
    </w:p>
    <w:p w:rsidRPr="001679D3" w:rsidR="001679D3" w:rsidP="001679D3" w:rsidRDefault="001679D3" w14:paraId="543B6AE2" w14:textId="77777777">
      <w:r w:rsidRPr="001679D3">
        <w:rPr>
          <w:b/>
          <w:bCs/>
        </w:rPr>
        <w:t>Geography Levels included</w:t>
      </w:r>
      <w:r w:rsidRPr="001679D3">
        <w:t>: Nation, State, County, Census Tract, Block Group</w:t>
      </w:r>
    </w:p>
    <w:p w:rsidRPr="001679D3" w:rsidR="001679D3" w:rsidP="001679D3" w:rsidRDefault="001679D3" w14:paraId="06804DEA" w14:textId="77777777">
      <w:r w:rsidRPr="001679D3">
        <w:rPr>
          <w:b/>
          <w:bCs/>
        </w:rPr>
        <w:t>National Figures</w:t>
      </w:r>
      <w:r w:rsidRPr="001679D3">
        <w:t>: included in Nation layer</w:t>
      </w:r>
    </w:p>
    <w:p w:rsidRPr="001679D3" w:rsidR="001679D3" w:rsidP="001679D3" w:rsidRDefault="001679D3" w14:paraId="0339B1B9" w14:textId="77777777">
      <w:r w:rsidRPr="001679D3">
        <w:t> </w:t>
      </w:r>
    </w:p>
    <w:p w:rsidRPr="001679D3" w:rsidR="001679D3" w:rsidP="001679D3" w:rsidRDefault="001679D3" w14:paraId="5763C406" w14:textId="77777777">
      <w:r w:rsidRPr="001679D3">
        <w:rPr>
          <w:b/>
          <w:bCs/>
        </w:rPr>
        <w:t>The United States Census Bureau Demographic and Housing Characteristics</w:t>
      </w:r>
      <w:r w:rsidRPr="001679D3">
        <w:t>: </w:t>
      </w:r>
    </w:p>
    <w:p w:rsidRPr="001679D3" w:rsidR="001679D3" w:rsidP="001679D3" w:rsidRDefault="001679D3" w14:paraId="2963EE67" w14:textId="77777777">
      <w:pPr>
        <w:numPr>
          <w:ilvl w:val="0"/>
          <w:numId w:val="10"/>
        </w:numPr>
      </w:pPr>
      <w:hyperlink w:tgtFrame="_blank" w:history="1" r:id="rId23">
        <w:r w:rsidRPr="001679D3">
          <w:rPr>
            <w:rStyle w:val="Hyperlink"/>
          </w:rPr>
          <w:t>2020 Census Results</w:t>
        </w:r>
      </w:hyperlink>
      <w:r w:rsidRPr="001679D3">
        <w:t> </w:t>
      </w:r>
    </w:p>
    <w:p w:rsidRPr="001679D3" w:rsidR="001679D3" w:rsidP="001679D3" w:rsidRDefault="001679D3" w14:paraId="79BDB630" w14:textId="77777777">
      <w:pPr>
        <w:numPr>
          <w:ilvl w:val="0"/>
          <w:numId w:val="10"/>
        </w:numPr>
      </w:pPr>
      <w:hyperlink w:tgtFrame="_blank" w:history="1" r:id="rId24">
        <w:r w:rsidRPr="001679D3">
          <w:rPr>
            <w:rStyle w:val="Hyperlink"/>
          </w:rPr>
          <w:t>2020 Census Data Quality</w:t>
        </w:r>
      </w:hyperlink>
      <w:r w:rsidRPr="001679D3">
        <w:t> </w:t>
      </w:r>
    </w:p>
    <w:p w:rsidRPr="001679D3" w:rsidR="001679D3" w:rsidP="001679D3" w:rsidRDefault="001679D3" w14:paraId="7E03484B" w14:textId="77777777">
      <w:pPr>
        <w:numPr>
          <w:ilvl w:val="0"/>
          <w:numId w:val="10"/>
        </w:numPr>
      </w:pPr>
      <w:hyperlink w:tgtFrame="_blank" w:history="1" r:id="rId25">
        <w:r w:rsidRPr="001679D3">
          <w:rPr>
            <w:rStyle w:val="Hyperlink"/>
          </w:rPr>
          <w:t>Geography &amp; 2020 Census</w:t>
        </w:r>
      </w:hyperlink>
      <w:r w:rsidRPr="001679D3">
        <w:t> </w:t>
      </w:r>
    </w:p>
    <w:p w:rsidRPr="001679D3" w:rsidR="001679D3" w:rsidP="001679D3" w:rsidRDefault="001679D3" w14:paraId="5EF964FF" w14:textId="77777777">
      <w:pPr>
        <w:numPr>
          <w:ilvl w:val="0"/>
          <w:numId w:val="10"/>
        </w:numPr>
      </w:pPr>
      <w:hyperlink w:tgtFrame="_blank" w:history="1" w:anchor="dhc-and-dp" r:id="rId26">
        <w:r w:rsidRPr="001679D3">
          <w:rPr>
            <w:rStyle w:val="Hyperlink"/>
          </w:rPr>
          <w:t>Technical Documentation</w:t>
        </w:r>
      </w:hyperlink>
      <w:r w:rsidRPr="001679D3">
        <w:t> </w:t>
      </w:r>
    </w:p>
    <w:p w:rsidRPr="001679D3" w:rsidR="001679D3" w:rsidP="001679D3" w:rsidRDefault="001679D3" w14:paraId="20A47F4D" w14:textId="77777777">
      <w:pPr>
        <w:numPr>
          <w:ilvl w:val="0"/>
          <w:numId w:val="10"/>
        </w:numPr>
      </w:pPr>
      <w:hyperlink w:tgtFrame="_blank" w:history="1" r:id="rId27">
        <w:r w:rsidRPr="001679D3">
          <w:rPr>
            <w:rStyle w:val="Hyperlink"/>
          </w:rPr>
          <w:t>Data Table Guide</w:t>
        </w:r>
      </w:hyperlink>
      <w:r w:rsidRPr="001679D3">
        <w:t>: includes the final list of tables, lowest level of geography by table and table shells for the Demographic Profile and Demographic and Housing Characteristics.</w:t>
      </w:r>
    </w:p>
    <w:p w:rsidRPr="001679D3" w:rsidR="001679D3" w:rsidP="001679D3" w:rsidRDefault="001679D3" w14:paraId="61B47FB1" w14:textId="77777777">
      <w:pPr>
        <w:numPr>
          <w:ilvl w:val="0"/>
          <w:numId w:val="10"/>
        </w:numPr>
      </w:pPr>
      <w:hyperlink w:tgtFrame="_blank" w:history="1" r:id="rId28">
        <w:r w:rsidRPr="001679D3">
          <w:rPr>
            <w:rStyle w:val="Hyperlink"/>
          </w:rPr>
          <w:t>News &amp; Updates</w:t>
        </w:r>
      </w:hyperlink>
      <w:r w:rsidRPr="001679D3">
        <w:t> </w:t>
      </w:r>
    </w:p>
    <w:p w:rsidRPr="001679D3" w:rsidR="001679D3" w:rsidP="001679D3" w:rsidRDefault="001679D3" w14:paraId="64939785" w14:textId="77777777">
      <w:r w:rsidRPr="001679D3">
        <w:t>This map is ready to be used in ArcGIS Pro, ArcGIS Online and its configurable apps, Story Maps, dashboards, Notebooks, Python, custom apps, and mobile apps. Data can also be exported for offline workflows. Please cite the U.S. Census Bureau when using this data. </w:t>
      </w:r>
    </w:p>
    <w:p w:rsidRPr="001679D3" w:rsidR="001679D3" w:rsidP="001679D3" w:rsidRDefault="001679D3" w14:paraId="0D28AA94" w14:textId="77777777">
      <w:r w:rsidRPr="001679D3">
        <w:br/>
      </w:r>
      <w:r w:rsidRPr="001679D3">
        <w:t> </w:t>
      </w:r>
    </w:p>
    <w:p w:rsidRPr="001679D3" w:rsidR="001679D3" w:rsidP="001679D3" w:rsidRDefault="001679D3" w14:paraId="6C249A66" w14:textId="77777777">
      <w:r w:rsidRPr="001679D3">
        <w:rPr>
          <w:b/>
          <w:bCs/>
        </w:rPr>
        <w:t>Data Processing Notes</w:t>
      </w:r>
      <w:r w:rsidRPr="001679D3">
        <w:t>: </w:t>
      </w:r>
    </w:p>
    <w:p w:rsidRPr="001679D3" w:rsidR="001679D3" w:rsidP="001679D3" w:rsidRDefault="001679D3" w14:paraId="53442274" w14:textId="77777777">
      <w:pPr>
        <w:numPr>
          <w:ilvl w:val="0"/>
          <w:numId w:val="11"/>
        </w:numPr>
      </w:pPr>
      <w:r w:rsidRPr="001679D3">
        <w:t>These 2020 Census boundaries come from the US Census TIGER geodatabases. These are Census boundaries with water and/or coastlines erased for cartographic and mapping purposes. For Census tracts and block groups, the water cutouts are derived from a subset of the </w:t>
      </w:r>
      <w:hyperlink w:tgtFrame="_blank" w:history="1" r:id="rId29">
        <w:r w:rsidRPr="001679D3">
          <w:rPr>
            <w:rStyle w:val="Hyperlink"/>
          </w:rPr>
          <w:t>2020 Areal Hydrography boundaries offered by TIGER</w:t>
        </w:r>
      </w:hyperlink>
      <w:r w:rsidRPr="001679D3">
        <w:t>. Water bodies and rivers which are 50 million square meters or larger (mid to large sized water bodies) are erased from the tract and block group boundaries, as well as additional important features. For state and county boundaries, the water and coastlines are derived from the coastlines of the 2020 500k </w:t>
      </w:r>
      <w:hyperlink w:tgtFrame="_blank" w:history="1" r:id="rId30">
        <w:r w:rsidRPr="001679D3">
          <w:rPr>
            <w:rStyle w:val="Hyperlink"/>
          </w:rPr>
          <w:t>TIGER Cartographic Boundary Shapefiles</w:t>
        </w:r>
      </w:hyperlink>
      <w:r w:rsidRPr="001679D3">
        <w:t>. These are erased to more accurately portray the coastlines and Great Lakes. The original AWATER and ALAND fields are unchanged and available as attributes within the data table (units are square meters).  </w:t>
      </w:r>
    </w:p>
    <w:p w:rsidRPr="001679D3" w:rsidR="001679D3" w:rsidP="001679D3" w:rsidRDefault="001679D3" w14:paraId="77EAAF74" w14:textId="77777777">
      <w:pPr>
        <w:numPr>
          <w:ilvl w:val="0"/>
          <w:numId w:val="11"/>
        </w:numPr>
      </w:pPr>
      <w:r w:rsidRPr="001679D3">
        <w:t>The layer contains all U.S. states, Washington D.C., and Puerto Rico. </w:t>
      </w:r>
    </w:p>
    <w:p w:rsidRPr="001679D3" w:rsidR="001679D3" w:rsidP="001679D3" w:rsidRDefault="001679D3" w14:paraId="0159E3E4" w14:textId="77777777">
      <w:pPr>
        <w:numPr>
          <w:ilvl w:val="0"/>
          <w:numId w:val="11"/>
        </w:numPr>
      </w:pPr>
      <w:r w:rsidRPr="001679D3">
        <w:t>Census tracts with no population that occur in areas of water, such as oceans, are removed from this data service (Census Tracts beginning with 99). Block groups that fall within the same criteria (Block Group denoted as 0 with no area land) have also been removed.</w:t>
      </w:r>
    </w:p>
    <w:p w:rsidRPr="001679D3" w:rsidR="001679D3" w:rsidP="001679D3" w:rsidRDefault="001679D3" w14:paraId="708840EC" w14:textId="77777777">
      <w:pPr>
        <w:numPr>
          <w:ilvl w:val="0"/>
          <w:numId w:val="11"/>
        </w:numPr>
      </w:pPr>
      <w:r w:rsidRPr="001679D3">
        <w:t>Percentages and derived counts, are calculated values (that can be identified by the "_calc_" stub in the field name). </w:t>
      </w:r>
    </w:p>
    <w:p w:rsidRPr="001679D3" w:rsidR="001679D3" w:rsidP="001679D3" w:rsidRDefault="001679D3" w14:paraId="362F8630" w14:textId="77777777">
      <w:pPr>
        <w:numPr>
          <w:ilvl w:val="0"/>
          <w:numId w:val="11"/>
        </w:numPr>
      </w:pPr>
      <w:r w:rsidRPr="001679D3">
        <w:t>Field alias names were created based on the Table Shells file available from the Data Table Guide for the </w:t>
      </w:r>
      <w:hyperlink w:tgtFrame="_blank" w:history="1" r:id="rId31">
        <w:r w:rsidRPr="001679D3">
          <w:rPr>
            <w:rStyle w:val="Hyperlink"/>
          </w:rPr>
          <w:t>Demographic Profile and Demographic and Housing Characteristics</w:t>
        </w:r>
      </w:hyperlink>
      <w:r w:rsidRPr="001679D3">
        <w:t>. </w:t>
      </w:r>
    </w:p>
    <w:p w:rsidRPr="001679D3" w:rsidR="001679D3" w:rsidP="001679D3" w:rsidRDefault="001679D3" w14:paraId="583BA665" w14:textId="77777777">
      <w:pPr>
        <w:numPr>
          <w:ilvl w:val="0"/>
          <w:numId w:val="11"/>
        </w:numPr>
      </w:pPr>
      <w:r w:rsidRPr="001679D3">
        <w:t>Not all lines of all tables listed above are included in this layer. Duplicative counts were dropped. For example, P0030001 was dropped, as it is duplicative of P0010001.</w:t>
      </w:r>
    </w:p>
    <w:p w:rsidRPr="001679D3" w:rsidR="001679D3" w:rsidP="001679D3" w:rsidRDefault="001679D3" w14:paraId="036B4B0F" w14:textId="77777777">
      <w:r w:rsidRPr="001679D3">
        <w:t>To protect the privacy and confidentiality of respondents, their data has been protected using </w:t>
      </w:r>
      <w:hyperlink w:tgtFrame="_blank" w:history="1" r:id="rId32">
        <w:r w:rsidRPr="001679D3">
          <w:rPr>
            <w:rStyle w:val="Hyperlink"/>
          </w:rPr>
          <w:t>differential privacy techniques</w:t>
        </w:r>
      </w:hyperlink>
      <w:r w:rsidRPr="001679D3">
        <w:t> by the U.S. Census Bureau.</w:t>
      </w:r>
    </w:p>
    <w:p w:rsidRPr="001679D3" w:rsidR="001679D3" w:rsidP="001679D3" w:rsidRDefault="001679D3" w14:paraId="462B342C" w14:textId="77777777">
      <w:pPr>
        <w:rPr>
          <w:b/>
          <w:bCs/>
        </w:rPr>
      </w:pPr>
      <w:r w:rsidRPr="001679D3">
        <w:rPr>
          <w:b/>
          <w:bCs/>
        </w:rPr>
        <w:t>Credits</w:t>
      </w:r>
    </w:p>
    <w:p w:rsidRPr="001679D3" w:rsidR="001679D3" w:rsidP="001679D3" w:rsidRDefault="001679D3" w14:paraId="027D5EE5" w14:textId="77777777">
      <w:r w:rsidRPr="001679D3">
        <w:t>U.S. Census Bureau, Esri</w:t>
      </w:r>
    </w:p>
    <w:p w:rsidRPr="001679D3" w:rsidR="001679D3" w:rsidP="001679D3" w:rsidRDefault="001679D3" w14:paraId="1EAE21AE" w14:textId="77777777">
      <w:pPr>
        <w:rPr>
          <w:b/>
          <w:bCs/>
        </w:rPr>
      </w:pPr>
      <w:r w:rsidRPr="001679D3">
        <w:rPr>
          <w:b/>
          <w:bCs/>
        </w:rPr>
        <w:t>Use limitations</w:t>
      </w:r>
    </w:p>
    <w:p w:rsidRPr="001679D3" w:rsidR="001679D3" w:rsidP="001679D3" w:rsidRDefault="001679D3" w14:paraId="194EC351" w14:textId="0A53C0D6">
      <w:r w:rsidRPr="001679D3">
        <w:t>This work is licensed under the Esri Master License Agreement.</w:t>
      </w:r>
    </w:p>
    <w:p w:rsidRPr="001679D3" w:rsidR="001679D3" w:rsidP="001679D3" w:rsidRDefault="001679D3" w14:paraId="7DA7C041" w14:textId="77777777">
      <w:hyperlink w:tgtFrame="_blank" w:history="1" r:id="rId33">
        <w:r w:rsidRPr="001679D3">
          <w:rPr>
            <w:rStyle w:val="Hyperlink"/>
            <w:b/>
            <w:bCs/>
          </w:rPr>
          <w:t>View Summary</w:t>
        </w:r>
      </w:hyperlink>
      <w:r w:rsidRPr="001679D3">
        <w:t> | </w:t>
      </w:r>
      <w:hyperlink w:tgtFrame="_blank" w:history="1" r:id="rId34">
        <w:r w:rsidRPr="001679D3">
          <w:rPr>
            <w:rStyle w:val="Hyperlink"/>
            <w:b/>
            <w:bCs/>
          </w:rPr>
          <w:t>View Terms of Use</w:t>
        </w:r>
      </w:hyperlink>
    </w:p>
    <w:p w:rsidRPr="001679D3" w:rsidR="001679D3" w:rsidP="001679D3" w:rsidRDefault="001679D3" w14:paraId="278788E8" w14:textId="77777777">
      <w:pPr>
        <w:rPr>
          <w:b/>
          <w:bCs/>
        </w:rPr>
      </w:pPr>
      <w:r w:rsidRPr="001679D3">
        <w:rPr>
          <w:b/>
          <w:bCs/>
        </w:rPr>
        <w:t>Extent</w:t>
      </w:r>
    </w:p>
    <w:p w:rsidRPr="001679D3" w:rsidR="001679D3" w:rsidP="001679D3" w:rsidRDefault="001679D3" w14:paraId="159BF989" w14:textId="77777777">
      <w:r w:rsidRPr="001679D3">
        <w:t>There is no extent for this item.</w:t>
      </w:r>
    </w:p>
    <w:p w:rsidRPr="001679D3" w:rsidR="001679D3" w:rsidP="001679D3" w:rsidRDefault="001679D3" w14:paraId="1BC0BAAA" w14:textId="77777777">
      <w:pPr>
        <w:rPr>
          <w:b/>
          <w:bCs/>
        </w:rPr>
      </w:pPr>
      <w:r w:rsidRPr="001679D3">
        <w:rPr>
          <w:b/>
          <w:bCs/>
        </w:rPr>
        <w:t>Scale Range</w:t>
      </w:r>
    </w:p>
    <w:p w:rsidRPr="001679D3" w:rsidR="001679D3" w:rsidP="001679D3" w:rsidRDefault="001679D3" w14:paraId="4BC5C095" w14:textId="77777777">
      <w:r w:rsidRPr="001679D3">
        <w:t>There is no scale range for this item.</w:t>
      </w:r>
    </w:p>
    <w:p w:rsidRPr="001679D3" w:rsidR="001679D3" w:rsidP="001679D3" w:rsidRDefault="001679D3" w14:paraId="7C79F023" w14:textId="77777777">
      <w:r w:rsidRPr="001679D3">
        <w:br/>
      </w:r>
    </w:p>
    <w:p w:rsidRPr="001679D3" w:rsidR="001679D3" w:rsidP="001679D3" w:rsidRDefault="001679D3" w14:paraId="6CFE7103" w14:textId="77777777">
      <w:r w:rsidRPr="001679D3">
        <w:rPr>
          <w:i/>
          <w:iCs/>
        </w:rPr>
        <w:t>You are currently using the Item Description metadata style. Change your metadata style in the Options dialog box to see additional metadata content.</w:t>
      </w:r>
    </w:p>
    <w:p w:rsidR="001679D3" w:rsidRDefault="001679D3" w14:paraId="33A1887F" w14:textId="77777777"/>
    <w:sectPr w:rsidR="001679D3" w:rsidSect="006D0531">
      <w:footerReference w:type="default" r:id="rId35"/>
      <w:pgSz w:w="12240" w:h="15840" w:orient="portrait"/>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3684" w:rsidP="006D0531" w:rsidRDefault="00D73684" w14:paraId="7D9EF494" w14:textId="77777777">
      <w:r>
        <w:separator/>
      </w:r>
    </w:p>
  </w:endnote>
  <w:endnote w:type="continuationSeparator" w:id="0">
    <w:p w:rsidR="00D73684" w:rsidP="006D0531" w:rsidRDefault="00D73684" w14:paraId="37064F5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881005"/>
      <w:docPartObj>
        <w:docPartGallery w:val="Page Numbers (Bottom of Page)"/>
        <w:docPartUnique/>
      </w:docPartObj>
    </w:sdtPr>
    <w:sdtEndPr>
      <w:rPr>
        <w:noProof/>
      </w:rPr>
    </w:sdtEndPr>
    <w:sdtContent>
      <w:p w:rsidR="006D0531" w:rsidRDefault="006D0531" w14:paraId="369ABA26" w14:textId="7FB25C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6D0531" w:rsidRDefault="006D0531" w14:paraId="0FAA0D0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3684" w:rsidP="006D0531" w:rsidRDefault="00D73684" w14:paraId="18B02082" w14:textId="77777777">
      <w:r>
        <w:separator/>
      </w:r>
    </w:p>
  </w:footnote>
  <w:footnote w:type="continuationSeparator" w:id="0">
    <w:p w:rsidR="00D73684" w:rsidP="006D0531" w:rsidRDefault="00D73684" w14:paraId="0A19589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7656F"/>
    <w:multiLevelType w:val="hybridMultilevel"/>
    <w:tmpl w:val="25B4E95E"/>
    <w:lvl w:ilvl="0" w:tplc="A3B49B12">
      <w:start w:val="1"/>
      <w:numFmt w:val="decimal"/>
      <w:lvlText w:val="%1."/>
      <w:lvlJc w:val="left"/>
      <w:pPr>
        <w:ind w:left="720" w:hanging="360"/>
      </w:pPr>
      <w:rPr>
        <w:rFonts w:hint="default" w:ascii="Times New Roman" w:hAnsi="Times New Roman"/>
        <w:b w:val="0"/>
        <w:i w:val="0"/>
        <w:sz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8C4E6E"/>
    <w:multiLevelType w:val="hybridMultilevel"/>
    <w:tmpl w:val="E018A62A"/>
    <w:lvl w:ilvl="0" w:tplc="96E2EA8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0566F17"/>
    <w:multiLevelType w:val="multilevel"/>
    <w:tmpl w:val="382087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29C309D"/>
    <w:multiLevelType w:val="hybridMultilevel"/>
    <w:tmpl w:val="28C802D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 w15:restartNumberingAfterBreak="0">
    <w:nsid w:val="1F9D76AA"/>
    <w:multiLevelType w:val="multilevel"/>
    <w:tmpl w:val="3A4CF6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582DC91"/>
    <w:multiLevelType w:val="hybridMultilevel"/>
    <w:tmpl w:val="4F3E9064"/>
    <w:lvl w:ilvl="0" w:tplc="D0029AF0">
      <w:start w:val="3"/>
      <w:numFmt w:val="decimal"/>
      <w:lvlText w:val="%1."/>
      <w:lvlJc w:val="left"/>
      <w:pPr>
        <w:ind w:left="720" w:hanging="360"/>
      </w:pPr>
    </w:lvl>
    <w:lvl w:ilvl="1" w:tplc="65ACEFDE">
      <w:start w:val="1"/>
      <w:numFmt w:val="lowerLetter"/>
      <w:lvlText w:val="%2."/>
      <w:lvlJc w:val="left"/>
      <w:pPr>
        <w:ind w:left="1440" w:hanging="360"/>
      </w:pPr>
    </w:lvl>
    <w:lvl w:ilvl="2" w:tplc="DDF8EE2E">
      <w:start w:val="1"/>
      <w:numFmt w:val="lowerRoman"/>
      <w:lvlText w:val="%3."/>
      <w:lvlJc w:val="right"/>
      <w:pPr>
        <w:ind w:left="2160" w:hanging="180"/>
      </w:pPr>
    </w:lvl>
    <w:lvl w:ilvl="3" w:tplc="EBEC67D2">
      <w:start w:val="1"/>
      <w:numFmt w:val="decimal"/>
      <w:lvlText w:val="%4."/>
      <w:lvlJc w:val="left"/>
      <w:pPr>
        <w:ind w:left="2880" w:hanging="360"/>
      </w:pPr>
    </w:lvl>
    <w:lvl w:ilvl="4" w:tplc="39EEAEAA">
      <w:start w:val="1"/>
      <w:numFmt w:val="lowerLetter"/>
      <w:lvlText w:val="%5."/>
      <w:lvlJc w:val="left"/>
      <w:pPr>
        <w:ind w:left="3600" w:hanging="360"/>
      </w:pPr>
    </w:lvl>
    <w:lvl w:ilvl="5" w:tplc="47E0B1EC">
      <w:start w:val="1"/>
      <w:numFmt w:val="lowerRoman"/>
      <w:lvlText w:val="%6."/>
      <w:lvlJc w:val="right"/>
      <w:pPr>
        <w:ind w:left="4320" w:hanging="180"/>
      </w:pPr>
    </w:lvl>
    <w:lvl w:ilvl="6" w:tplc="45F6511A">
      <w:start w:val="1"/>
      <w:numFmt w:val="decimal"/>
      <w:lvlText w:val="%7."/>
      <w:lvlJc w:val="left"/>
      <w:pPr>
        <w:ind w:left="5040" w:hanging="360"/>
      </w:pPr>
    </w:lvl>
    <w:lvl w:ilvl="7" w:tplc="C7DCFB9C">
      <w:start w:val="1"/>
      <w:numFmt w:val="lowerLetter"/>
      <w:lvlText w:val="%8."/>
      <w:lvlJc w:val="left"/>
      <w:pPr>
        <w:ind w:left="5760" w:hanging="360"/>
      </w:pPr>
    </w:lvl>
    <w:lvl w:ilvl="8" w:tplc="35B606B6">
      <w:start w:val="1"/>
      <w:numFmt w:val="lowerRoman"/>
      <w:lvlText w:val="%9."/>
      <w:lvlJc w:val="right"/>
      <w:pPr>
        <w:ind w:left="6480" w:hanging="180"/>
      </w:pPr>
    </w:lvl>
  </w:abstractNum>
  <w:abstractNum w:abstractNumId="6" w15:restartNumberingAfterBreak="0">
    <w:nsid w:val="3BC52CE9"/>
    <w:multiLevelType w:val="multilevel"/>
    <w:tmpl w:val="3E76AB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CF94F83"/>
    <w:multiLevelType w:val="multilevel"/>
    <w:tmpl w:val="2B723D92"/>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8" w15:restartNumberingAfterBreak="0">
    <w:nsid w:val="546D19B6"/>
    <w:multiLevelType w:val="multilevel"/>
    <w:tmpl w:val="171278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E19333B"/>
    <w:multiLevelType w:val="multilevel"/>
    <w:tmpl w:val="171278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56E5A09"/>
    <w:multiLevelType w:val="multilevel"/>
    <w:tmpl w:val="9EF841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990208410">
    <w:abstractNumId w:val="9"/>
  </w:num>
  <w:num w:numId="2" w16cid:durableId="1738824453">
    <w:abstractNumId w:val="3"/>
  </w:num>
  <w:num w:numId="3" w16cid:durableId="1201821644">
    <w:abstractNumId w:val="5"/>
  </w:num>
  <w:num w:numId="4" w16cid:durableId="830607175">
    <w:abstractNumId w:val="7"/>
  </w:num>
  <w:num w:numId="5" w16cid:durableId="1382091793">
    <w:abstractNumId w:val="0"/>
  </w:num>
  <w:num w:numId="6" w16cid:durableId="175582219">
    <w:abstractNumId w:val="1"/>
  </w:num>
  <w:num w:numId="7" w16cid:durableId="1175876530">
    <w:abstractNumId w:val="8"/>
  </w:num>
  <w:num w:numId="8" w16cid:durableId="2075003701">
    <w:abstractNumId w:val="6"/>
  </w:num>
  <w:num w:numId="9" w16cid:durableId="137455987">
    <w:abstractNumId w:val="2"/>
  </w:num>
  <w:num w:numId="10" w16cid:durableId="2080860012">
    <w:abstractNumId w:val="4"/>
  </w:num>
  <w:num w:numId="11" w16cid:durableId="1128277082">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AB4"/>
    <w:rsid w:val="0003781E"/>
    <w:rsid w:val="000F4CEB"/>
    <w:rsid w:val="00123356"/>
    <w:rsid w:val="001679D3"/>
    <w:rsid w:val="002B46CA"/>
    <w:rsid w:val="00312CE1"/>
    <w:rsid w:val="00324999"/>
    <w:rsid w:val="003D0B59"/>
    <w:rsid w:val="00436138"/>
    <w:rsid w:val="004F7EDA"/>
    <w:rsid w:val="005A17F4"/>
    <w:rsid w:val="00605B24"/>
    <w:rsid w:val="00691900"/>
    <w:rsid w:val="006957F8"/>
    <w:rsid w:val="006B6DF4"/>
    <w:rsid w:val="006D0531"/>
    <w:rsid w:val="007517B2"/>
    <w:rsid w:val="00773CDA"/>
    <w:rsid w:val="00793691"/>
    <w:rsid w:val="007A0844"/>
    <w:rsid w:val="007B288B"/>
    <w:rsid w:val="008526A5"/>
    <w:rsid w:val="00856CD9"/>
    <w:rsid w:val="009027A6"/>
    <w:rsid w:val="0091163C"/>
    <w:rsid w:val="009514CD"/>
    <w:rsid w:val="009A2151"/>
    <w:rsid w:val="009F77BE"/>
    <w:rsid w:val="00A35C4B"/>
    <w:rsid w:val="00A50574"/>
    <w:rsid w:val="00AB07A7"/>
    <w:rsid w:val="00B072FF"/>
    <w:rsid w:val="00B24F2C"/>
    <w:rsid w:val="00B35C1D"/>
    <w:rsid w:val="00B62253"/>
    <w:rsid w:val="00B8361C"/>
    <w:rsid w:val="00C02EBC"/>
    <w:rsid w:val="00C16017"/>
    <w:rsid w:val="00C2706E"/>
    <w:rsid w:val="00C53001"/>
    <w:rsid w:val="00CD530A"/>
    <w:rsid w:val="00D02C05"/>
    <w:rsid w:val="00D73684"/>
    <w:rsid w:val="00DA588B"/>
    <w:rsid w:val="00DA7110"/>
    <w:rsid w:val="00DC5EC0"/>
    <w:rsid w:val="00E1293E"/>
    <w:rsid w:val="00E27AB4"/>
    <w:rsid w:val="00E5645C"/>
    <w:rsid w:val="00E85F09"/>
    <w:rsid w:val="00E927EA"/>
    <w:rsid w:val="061E7AFC"/>
    <w:rsid w:val="0F0B5A8E"/>
    <w:rsid w:val="2B5842D7"/>
    <w:rsid w:val="4F00C668"/>
    <w:rsid w:val="4FA03B82"/>
    <w:rsid w:val="59E8E4D6"/>
    <w:rsid w:val="5AA33EE2"/>
    <w:rsid w:val="6798D3D8"/>
    <w:rsid w:val="69050488"/>
    <w:rsid w:val="7FFDA3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A93A8"/>
  <w15:docId w15:val="{22949F98-EA6C-429D-BD38-8E608F28BD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16017"/>
    <w:pPr>
      <w:spacing w:line="240" w:lineRule="auto"/>
    </w:pPr>
    <w:rPr>
      <w:rFonts w:ascii="Times New Roman" w:hAnsi="Times New Roman" w:eastAsia="Times New Roman" w:cs="Times New Roman"/>
      <w:sz w:val="24"/>
      <w:szCs w:val="24"/>
      <w:lang w:val="en-US" w:eastAsia="en-US"/>
    </w:rPr>
  </w:style>
  <w:style w:type="paragraph" w:styleId="Heading1">
    <w:name w:val="heading 1"/>
    <w:basedOn w:val="Normal"/>
    <w:next w:val="Normal"/>
    <w:uiPriority w:val="9"/>
    <w:qFormat/>
    <w:pPr>
      <w:keepNext/>
      <w:keepLines/>
      <w:spacing w:before="400" w:after="120" w:line="276" w:lineRule="auto"/>
      <w:outlineLvl w:val="0"/>
    </w:pPr>
    <w:rPr>
      <w:rFonts w:ascii="Arial" w:hAnsi="Arial" w:eastAsia="Arial" w:cs="Arial"/>
      <w:sz w:val="40"/>
      <w:szCs w:val="40"/>
      <w:lang w:val="en" w:eastAsia="ja-JP"/>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hAnsi="Arial" w:eastAsia="Arial" w:cs="Arial"/>
      <w:sz w:val="32"/>
      <w:szCs w:val="32"/>
      <w:lang w:val="en" w:eastAsia="ja-JP"/>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hAnsi="Arial" w:eastAsia="Arial" w:cs="Arial"/>
      <w:color w:val="434343"/>
      <w:sz w:val="28"/>
      <w:szCs w:val="28"/>
      <w:lang w:val="en" w:eastAsia="ja-JP"/>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hAnsi="Arial" w:eastAsia="Arial" w:cs="Arial"/>
      <w:color w:val="666666"/>
      <w:lang w:val="en" w:eastAsia="ja-JP"/>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hAnsi="Arial" w:eastAsia="Arial" w:cs="Arial"/>
      <w:color w:val="666666"/>
      <w:sz w:val="22"/>
      <w:szCs w:val="22"/>
      <w:lang w:val="en" w:eastAsia="ja-JP"/>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hAnsi="Arial" w:eastAsia="Arial" w:cs="Arial"/>
      <w:i/>
      <w:color w:val="666666"/>
      <w:sz w:val="22"/>
      <w:szCs w:val="22"/>
      <w:lang w:val="en" w:eastAsia="ja-JP"/>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line="276" w:lineRule="auto"/>
    </w:pPr>
    <w:rPr>
      <w:rFonts w:ascii="Arial" w:hAnsi="Arial" w:eastAsia="Arial" w:cs="Arial"/>
      <w:sz w:val="52"/>
      <w:szCs w:val="52"/>
      <w:lang w:val="en" w:eastAsia="ja-JP"/>
    </w:rPr>
  </w:style>
  <w:style w:type="paragraph" w:styleId="Subtitle">
    <w:name w:val="Subtitle"/>
    <w:basedOn w:val="Normal"/>
    <w:next w:val="Normal"/>
    <w:uiPriority w:val="11"/>
    <w:qFormat/>
    <w:pPr>
      <w:keepNext/>
      <w:keepLines/>
      <w:spacing w:after="320" w:line="276" w:lineRule="auto"/>
    </w:pPr>
    <w:rPr>
      <w:rFonts w:ascii="Arial" w:hAnsi="Arial" w:eastAsia="Arial" w:cs="Arial"/>
      <w:color w:val="666666"/>
      <w:sz w:val="30"/>
      <w:szCs w:val="30"/>
      <w:lang w:val="en" w:eastAsia="ja-JP"/>
    </w:r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007B288B"/>
    <w:rPr>
      <w:color w:val="0000FF"/>
      <w:u w:val="single"/>
    </w:rPr>
  </w:style>
  <w:style w:type="character" w:styleId="UnresolvedMention">
    <w:name w:val="Unresolved Mention"/>
    <w:basedOn w:val="DefaultParagraphFont"/>
    <w:uiPriority w:val="99"/>
    <w:semiHidden/>
    <w:unhideWhenUsed/>
    <w:rsid w:val="007B288B"/>
    <w:rPr>
      <w:color w:val="605E5C"/>
      <w:shd w:val="clear" w:color="auto" w:fill="E1DFDD"/>
    </w:rPr>
  </w:style>
  <w:style w:type="paragraph" w:styleId="ListParagraph">
    <w:name w:val="List Paragraph"/>
    <w:basedOn w:val="Normal"/>
    <w:uiPriority w:val="34"/>
    <w:qFormat/>
    <w:rsid w:val="00605B24"/>
    <w:pPr>
      <w:spacing w:line="276" w:lineRule="auto"/>
      <w:ind w:left="720"/>
      <w:contextualSpacing/>
    </w:pPr>
    <w:rPr>
      <w:rFonts w:ascii="Arial" w:hAnsi="Arial" w:eastAsia="Arial" w:cs="Arial"/>
      <w:sz w:val="22"/>
      <w:szCs w:val="22"/>
      <w:lang w:val="en" w:eastAsia="ja-JP"/>
    </w:rPr>
  </w:style>
  <w:style w:type="paragraph" w:styleId="Header">
    <w:name w:val="header"/>
    <w:basedOn w:val="Normal"/>
    <w:link w:val="HeaderChar"/>
    <w:uiPriority w:val="99"/>
    <w:unhideWhenUsed/>
    <w:rsid w:val="006D0531"/>
    <w:pPr>
      <w:tabs>
        <w:tab w:val="center" w:pos="4680"/>
        <w:tab w:val="right" w:pos="9360"/>
      </w:tabs>
    </w:pPr>
  </w:style>
  <w:style w:type="character" w:styleId="HeaderChar" w:customStyle="1">
    <w:name w:val="Header Char"/>
    <w:basedOn w:val="DefaultParagraphFont"/>
    <w:link w:val="Header"/>
    <w:uiPriority w:val="99"/>
    <w:rsid w:val="006D0531"/>
    <w:rPr>
      <w:rFonts w:ascii="Times New Roman" w:hAnsi="Times New Roman" w:eastAsia="Times New Roman" w:cs="Times New Roman"/>
      <w:sz w:val="24"/>
      <w:szCs w:val="24"/>
      <w:lang w:val="en-US" w:eastAsia="en-US"/>
    </w:rPr>
  </w:style>
  <w:style w:type="paragraph" w:styleId="Footer">
    <w:name w:val="footer"/>
    <w:basedOn w:val="Normal"/>
    <w:link w:val="FooterChar"/>
    <w:uiPriority w:val="99"/>
    <w:unhideWhenUsed/>
    <w:rsid w:val="006D0531"/>
    <w:pPr>
      <w:tabs>
        <w:tab w:val="center" w:pos="4680"/>
        <w:tab w:val="right" w:pos="9360"/>
      </w:tabs>
    </w:pPr>
  </w:style>
  <w:style w:type="character" w:styleId="FooterChar" w:customStyle="1">
    <w:name w:val="Footer Char"/>
    <w:basedOn w:val="DefaultParagraphFont"/>
    <w:link w:val="Footer"/>
    <w:uiPriority w:val="99"/>
    <w:rsid w:val="006D0531"/>
    <w:rPr>
      <w:rFonts w:ascii="Times New Roman" w:hAnsi="Times New Roman" w:eastAsia="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hyperlink" Target="https://virginia.box.com/s/irjud9jhn28x5w6kq0gjz1ytm484wu74" TargetMode="External" Id="rId13" /><Relationship Type="http://schemas.openxmlformats.org/officeDocument/2006/relationships/image" Target="media/image5.png" Id="rId18" /><Relationship Type="http://schemas.openxmlformats.org/officeDocument/2006/relationships/hyperlink" Target="https://www.census.gov/programs-surveys/decennial-census/technical-documentation/complete-technical-documents.html" TargetMode="External" Id="rId26" /><Relationship Type="http://schemas.openxmlformats.org/officeDocument/2006/relationships/hyperlink" Target="https://www.census.gov/programs-surveys/decennial-census/decade/2020/planning-management/release/about-2020-data-products.html" TargetMode="External" Id="rId21" /><Relationship Type="http://schemas.openxmlformats.org/officeDocument/2006/relationships/hyperlink" Target="https://goto.arcgis.com/termsofuse/viewtermsofuse" TargetMode="External" Id="rId34" /><Relationship Type="http://schemas.openxmlformats.org/officeDocument/2006/relationships/image" Target="media/image1.png" Id="rId7" /><Relationship Type="http://schemas.openxmlformats.org/officeDocument/2006/relationships/hyperlink" Target="https://www.maps.arcgis.com/home/item.html?id=0f98fc66a9fa4f94953718578cbd77a8" TargetMode="External" Id="rId12" /><Relationship Type="http://schemas.openxmlformats.org/officeDocument/2006/relationships/image" Target="media/image4.png" Id="rId17" /><Relationship Type="http://schemas.openxmlformats.org/officeDocument/2006/relationships/hyperlink" Target="https://www.census.gov/programs-surveys/decennial-census/geographies.html" TargetMode="External" Id="rId25" /><Relationship Type="http://schemas.openxmlformats.org/officeDocument/2006/relationships/hyperlink" Target="https://goto.arcgis.com/termsofuse/viewsummary" TargetMode="External" Id="rId33" /><Relationship Type="http://schemas.openxmlformats.org/officeDocument/2006/relationships/styles" Target="styles.xml" Id="rId2" /><Relationship Type="http://schemas.openxmlformats.org/officeDocument/2006/relationships/image" Target="media/image3.png" Id="rId16" /><Relationship Type="http://schemas.openxmlformats.org/officeDocument/2006/relationships/hyperlink" Target="https://www.census.gov/programs-surveys/geography/guidance/geo-areas/urban-rural.html" TargetMode="External" Id="rId20" /><Relationship Type="http://schemas.openxmlformats.org/officeDocument/2006/relationships/hyperlink" Target="https://www2.census.gov/geo/tiger/TGRGDB20/tlgdb_2020_a_us_areawater.gdb.zip"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visioneval.github.io/docs/model-inputs.html" TargetMode="External" Id="rId11" /><Relationship Type="http://schemas.openxmlformats.org/officeDocument/2006/relationships/hyperlink" Target="https://www.census.gov/programs-surveys/decennial-census/decade/2020/planning-management/process/data-quality.html" TargetMode="External" Id="rId24" /><Relationship Type="http://schemas.openxmlformats.org/officeDocument/2006/relationships/hyperlink" Target="https://www.census.gov/programs-surveys/decennial-census/decade/2020/planning-management/process/disclosure-avoidance.html" TargetMode="External" Id="rId32" /><Relationship Type="http://schemas.openxmlformats.org/officeDocument/2006/relationships/theme" Target="theme/theme1.xml" Id="rId37" /><Relationship Type="http://schemas.openxmlformats.org/officeDocument/2006/relationships/footnotes" Target="footnotes.xml" Id="rId5" /><Relationship Type="http://schemas.openxmlformats.org/officeDocument/2006/relationships/hyperlink" Target="https://virginia.box.com/s/irjud9jhn28x5w6kq0gjz1ytm484wu74" TargetMode="External" Id="rId15" /><Relationship Type="http://schemas.openxmlformats.org/officeDocument/2006/relationships/hyperlink" Target="https://www.census.gov/programs-surveys/decennial-census/decade/2020/2020-census-results.html" TargetMode="External" Id="rId23" /><Relationship Type="http://schemas.openxmlformats.org/officeDocument/2006/relationships/hyperlink" Target="https://www.census.gov/programs-surveys/decennial-census/decade/2020/news.html" TargetMode="External" Id="rId28" /><Relationship Type="http://schemas.openxmlformats.org/officeDocument/2006/relationships/fontTable" Target="fontTable.xml" Id="rId36" /><Relationship Type="http://schemas.openxmlformats.org/officeDocument/2006/relationships/hyperlink" Target="https://virginia.box.com/s/irjud9jhn28x5w6kq0gjz1ytm484wu74" TargetMode="External" Id="rId10" /><Relationship Type="http://schemas.openxmlformats.org/officeDocument/2006/relationships/image" Target="media/image6.png" Id="rId19" /><Relationship Type="http://schemas.openxmlformats.org/officeDocument/2006/relationships/hyperlink" Target="https://www2.census.gov/programs-surveys/decennial/2020/program-management/data-table-guide-dhc-dp.xlsx" TargetMode="External" Id="rId31" /><Relationship Type="http://schemas.openxmlformats.org/officeDocument/2006/relationships/webSettings" Target="webSettings.xml" Id="rId4" /><Relationship Type="http://schemas.openxmlformats.org/officeDocument/2006/relationships/image" Target="media/image2.png" Id="rId9" /><Relationship Type="http://schemas.openxmlformats.org/officeDocument/2006/relationships/hyperlink" Target="https://visioneval.github.io/docs/model-inputs.html" TargetMode="External" Id="rId14" /><Relationship Type="http://schemas.openxmlformats.org/officeDocument/2006/relationships/hyperlink" Target="https://data.census.gov/" TargetMode="External" Id="rId22" /><Relationship Type="http://schemas.openxmlformats.org/officeDocument/2006/relationships/hyperlink" Target="https://www2.census.gov/programs-surveys/decennial/2020/program-management/data-table-guide-dhc-dp.xlsx" TargetMode="External" Id="rId27" /><Relationship Type="http://schemas.openxmlformats.org/officeDocument/2006/relationships/hyperlink" Target="https://www.census.gov/geographies/mapping-files/time-series/geo/cartographic-boundary.html" TargetMode="External" Id="rId30" /><Relationship Type="http://schemas.openxmlformats.org/officeDocument/2006/relationships/footer" Target="footer1.xml" Id="rId35" /><Relationship Type="http://schemas.openxmlformats.org/officeDocument/2006/relationships/hyperlink" Target="https://virginia.box.com/s/irjud9jhn28x5w6kq0gjz1ytm484wu74" TargetMode="External" Id="rId8" /><Relationship Type="http://schemas.openxmlformats.org/officeDocument/2006/relationships/settings" Target="settings.xml" Id="rId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Lee-Bishop, Nikolas (VDOT)</lastModifiedBy>
  <revision>22</revision>
  <dcterms:created xsi:type="dcterms:W3CDTF">2025-08-02T13:09:00.0000000Z</dcterms:created>
  <dcterms:modified xsi:type="dcterms:W3CDTF">2026-06-23T15:35:09.4949152Z</dcterms:modified>
</coreProperties>
</file>