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2B46CA" w:rsidP="00C02EBC" w:rsidRDefault="002B46CA" w14:paraId="048F276E" w14:textId="0CE683E1">
      <w:pPr>
        <w:jc w:val="center"/>
        <w:rPr>
          <w:b/>
          <w:bCs/>
        </w:rPr>
      </w:pPr>
      <w:r>
        <w:rPr>
          <w:b/>
          <w:bCs/>
        </w:rPr>
        <w:t xml:space="preserve">Estimating </w:t>
      </w:r>
      <w:r w:rsidRPr="006A75D4" w:rsidR="006A75D4">
        <w:rPr>
          <w:b/>
          <w:bCs/>
        </w:rPr>
        <w:t>31_bzone_urban-town_du_proportions</w:t>
      </w:r>
    </w:p>
    <w:p w:rsidR="002B46CA" w:rsidP="00C02EBC" w:rsidRDefault="00B072FF" w14:paraId="5DA77F7D" w14:textId="7FA34EBE">
      <w:pPr>
        <w:jc w:val="center"/>
        <w:rPr>
          <w:b/>
          <w:bCs/>
        </w:rPr>
      </w:pPr>
      <w:r>
        <w:rPr>
          <w:b/>
          <w:bCs/>
        </w:rPr>
        <w:t>March 11, 2025</w:t>
      </w:r>
    </w:p>
    <w:p w:rsidR="002B46CA" w:rsidP="00C02EBC" w:rsidRDefault="002B46CA" w14:paraId="08AEA3E0" w14:textId="77777777">
      <w:pPr>
        <w:rPr>
          <w:b/>
          <w:bCs/>
        </w:rPr>
      </w:pPr>
    </w:p>
    <w:p w:rsidRPr="00B072FF" w:rsidR="002B46CA" w:rsidP="00C02EBC" w:rsidRDefault="002B46CA" w14:paraId="3871AA5F" w14:textId="7102F9F4">
      <w:pPr>
        <w:rPr>
          <w:rFonts w:asciiTheme="majorHAnsi" w:hAnsiTheme="majorHAnsi" w:cstheme="majorHAnsi"/>
          <w:b/>
          <w:bCs/>
        </w:rPr>
      </w:pPr>
      <w:r w:rsidRPr="00B072FF">
        <w:rPr>
          <w:rFonts w:asciiTheme="majorHAnsi" w:hAnsiTheme="majorHAnsi" w:cstheme="majorHAnsi"/>
          <w:b/>
          <w:bCs/>
        </w:rPr>
        <w:t>Definition</w:t>
      </w:r>
    </w:p>
    <w:p w:rsidRPr="00B072FF" w:rsidR="007B288B" w:rsidP="00C02EBC" w:rsidRDefault="007B288B" w14:paraId="1A03A58B" w14:textId="77777777">
      <w:pPr>
        <w:rPr>
          <w:rFonts w:asciiTheme="majorHAnsi" w:hAnsiTheme="majorHAnsi" w:cstheme="majorHAnsi"/>
          <w:b/>
          <w:bCs/>
        </w:rPr>
      </w:pPr>
    </w:p>
    <w:p w:rsidR="0004374C" w:rsidP="006A75D4" w:rsidRDefault="002B46CA" w14:paraId="6D8A4987" w14:textId="47F91EF4">
      <w:pPr>
        <w:ind w:firstLine="720"/>
        <w:rPr>
          <w:rFonts w:asciiTheme="majorHAnsi" w:hAnsiTheme="majorHAnsi" w:cstheme="majorHAnsi"/>
        </w:rPr>
      </w:pPr>
      <w:r w:rsidRPr="00B072FF">
        <w:rPr>
          <w:rFonts w:asciiTheme="majorHAnsi" w:hAnsiTheme="majorHAnsi" w:cstheme="majorHAnsi"/>
        </w:rPr>
        <w:t xml:space="preserve">This CSV file has </w:t>
      </w:r>
      <w:r w:rsidR="006A75D4">
        <w:rPr>
          <w:rFonts w:asciiTheme="majorHAnsi" w:hAnsiTheme="majorHAnsi" w:cstheme="majorHAnsi"/>
        </w:rPr>
        <w:t>six</w:t>
      </w:r>
      <w:r w:rsidRPr="00B072FF">
        <w:rPr>
          <w:rFonts w:asciiTheme="majorHAnsi" w:hAnsiTheme="majorHAnsi" w:cstheme="majorHAnsi"/>
        </w:rPr>
        <w:t xml:space="preserve"> attributes</w:t>
      </w:r>
      <w:r w:rsidR="006A75D4">
        <w:rPr>
          <w:rFonts w:asciiTheme="majorHAnsi" w:hAnsiTheme="majorHAnsi" w:cstheme="majorHAnsi"/>
        </w:rPr>
        <w:t xml:space="preserve"> all pertaining to where dwelling units </w:t>
      </w:r>
      <w:r w:rsidR="00642414">
        <w:rPr>
          <w:rFonts w:asciiTheme="majorHAnsi" w:hAnsiTheme="majorHAnsi" w:cstheme="majorHAnsi"/>
        </w:rPr>
        <w:t>are in</w:t>
      </w:r>
      <w:r w:rsidR="006A75D4">
        <w:rPr>
          <w:rFonts w:asciiTheme="majorHAnsi" w:hAnsiTheme="majorHAnsi" w:cstheme="majorHAnsi"/>
        </w:rPr>
        <w:t xml:space="preserve"> terms of the urban, rural, or town portion of each bzone where SFDU indicates single family dwelling units, MFDU denotes multifamily dwelling units, and GQDU denotes group quarters (e.g., dorms).  The categories of urban, town, and rural are up to the user (see discussion for data element 29_bzone_unprotected_area) but generally are based on census categories, such that some bzones are completely urban, completely town, or a mix of town and rural.  </w:t>
      </w:r>
    </w:p>
    <w:p w:rsidR="0004374C" w:rsidP="006A75D4" w:rsidRDefault="0004374C" w14:paraId="7232A75C" w14:textId="77777777">
      <w:pPr>
        <w:ind w:firstLine="720"/>
        <w:rPr>
          <w:rFonts w:asciiTheme="majorHAnsi" w:hAnsiTheme="majorHAnsi" w:cstheme="majorHAnsi"/>
        </w:rPr>
      </w:pPr>
    </w:p>
    <w:p w:rsidR="00B072FF" w:rsidP="0004374C" w:rsidRDefault="00B072FF" w14:paraId="44E063A9" w14:textId="5D0794F0">
      <w:pPr>
        <w:ind w:firstLine="720"/>
        <w:rPr>
          <w:rFonts w:asciiTheme="majorHAnsi" w:hAnsiTheme="majorHAnsi" w:cstheme="majorHAnsi"/>
        </w:rPr>
      </w:pPr>
      <w:r w:rsidRPr="00B072FF">
        <w:rPr>
          <w:rFonts w:asciiTheme="majorHAnsi" w:hAnsiTheme="majorHAnsi" w:cstheme="majorHAnsi"/>
        </w:rPr>
        <w:t>These values are shown below for three bzones:   515400010001 (an urban area near Charlottesville’s downtown pedestrian mall), 510030107021 (a suburban area near Route 29 in Albemarle County), and 510030110004 (a rural residential area in Albemarle County).</w:t>
      </w:r>
      <w:r w:rsidR="0004374C">
        <w:rPr>
          <w:rFonts w:asciiTheme="majorHAnsi" w:hAnsiTheme="majorHAnsi" w:cstheme="majorHAnsi"/>
        </w:rPr>
        <w:t xml:space="preserve">  For the urban and suburban areas, all dwelling units are in the urban area and none are in the area categorized as town.  For the rural bzone, 30% of the single family dwelling units are in the town portion (with 70% in the rural portion), and all of the multifamily and group quarters dwelling units are in the town portion.</w:t>
      </w:r>
    </w:p>
    <w:p w:rsidR="006A75D4" w:rsidP="006A75D4" w:rsidRDefault="006A75D4" w14:paraId="0249AF8D" w14:textId="77777777">
      <w:pPr>
        <w:ind w:firstLine="720"/>
        <w:rPr>
          <w:rFonts w:asciiTheme="majorHAnsi" w:hAnsiTheme="majorHAnsi" w:cstheme="majorHAnsi"/>
        </w:rPr>
      </w:pPr>
    </w:p>
    <w:p w:rsidRPr="00B072FF" w:rsidR="006A75D4" w:rsidP="0004374C" w:rsidRDefault="0004374C" w14:paraId="3BE37323" w14:textId="67968F4A">
      <w:pPr>
        <w:rPr>
          <w:rFonts w:asciiTheme="majorHAnsi" w:hAnsiTheme="majorHAnsi" w:cstheme="majorHAnsi"/>
        </w:rPr>
      </w:pPr>
      <w:r w:rsidRPr="0004374C">
        <w:rPr>
          <w:rFonts w:asciiTheme="majorHAnsi" w:hAnsiTheme="majorHAnsi" w:cstheme="majorHAnsi"/>
        </w:rPr>
        <w:drawing>
          <wp:inline distT="0" distB="0" distL="0" distR="0" wp14:anchorId="1603E633" wp14:editId="42FB6DC4">
            <wp:extent cx="5946405" cy="640890"/>
            <wp:effectExtent l="0" t="0" r="0" b="6985"/>
            <wp:docPr id="896391734"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91734" name="Picture 1" descr="Table&#10;&#10;AI-generated content may be incorrect."/>
                    <pic:cNvPicPr/>
                  </pic:nvPicPr>
                  <pic:blipFill>
                    <a:blip r:embed="rId7"/>
                    <a:stretch>
                      <a:fillRect/>
                    </a:stretch>
                  </pic:blipFill>
                  <pic:spPr>
                    <a:xfrm>
                      <a:off x="0" y="0"/>
                      <a:ext cx="5962136" cy="642585"/>
                    </a:xfrm>
                    <a:prstGeom prst="rect">
                      <a:avLst/>
                    </a:prstGeom>
                  </pic:spPr>
                </pic:pic>
              </a:graphicData>
            </a:graphic>
          </wp:inline>
        </w:drawing>
      </w:r>
    </w:p>
    <w:p w:rsidRPr="00B072FF" w:rsidR="00B072FF" w:rsidP="00B072FF" w:rsidRDefault="00B072FF" w14:paraId="73C0FF46" w14:textId="77777777">
      <w:pPr>
        <w:tabs>
          <w:tab w:val="num" w:pos="720"/>
        </w:tabs>
        <w:rPr>
          <w:rFonts w:asciiTheme="majorHAnsi" w:hAnsiTheme="majorHAnsi" w:cstheme="majorHAnsi"/>
        </w:rPr>
      </w:pPr>
    </w:p>
    <w:p w:rsidRPr="00B072FF" w:rsidR="00B072FF" w:rsidP="00B072FF" w:rsidRDefault="00B072FF" w14:paraId="3EEC4C31" w14:textId="4E0E0EA6">
      <w:pPr>
        <w:tabs>
          <w:tab w:val="num" w:pos="720"/>
        </w:tabs>
        <w:rPr>
          <w:rFonts w:asciiTheme="majorHAnsi" w:hAnsiTheme="majorHAnsi" w:cstheme="majorHAnsi"/>
        </w:rPr>
      </w:pPr>
      <w:r w:rsidRPr="00B072FF">
        <w:rPr>
          <w:rFonts w:asciiTheme="majorHAnsi" w:hAnsiTheme="majorHAnsi" w:cstheme="majorHAnsi"/>
        </w:rPr>
        <w:tab/>
      </w:r>
      <w:r w:rsidRPr="00B072FF">
        <w:rPr>
          <w:rFonts w:asciiTheme="majorHAnsi" w:hAnsiTheme="majorHAnsi" w:cstheme="majorHAnsi"/>
        </w:rPr>
        <w:t>For year 2045, values are presumed to be the same as for year 2024.</w:t>
      </w:r>
    </w:p>
    <w:p w:rsidRPr="000D2CAD" w:rsidR="00B072FF" w:rsidP="00B072FF" w:rsidRDefault="00B072FF" w14:paraId="3A33A7FE" w14:textId="77777777">
      <w:pPr>
        <w:tabs>
          <w:tab w:val="num" w:pos="720"/>
        </w:tabs>
        <w:rPr>
          <w:rFonts w:asciiTheme="majorHAnsi" w:hAnsiTheme="majorHAnsi" w:cstheme="majorHAnsi"/>
        </w:rPr>
      </w:pPr>
    </w:p>
    <w:p w:rsidR="00B072FF" w:rsidP="00B072FF" w:rsidRDefault="00B072FF" w14:paraId="0A33C075" w14:textId="77777777">
      <w:pPr>
        <w:tabs>
          <w:tab w:val="num" w:pos="720"/>
        </w:tabs>
        <w:rPr>
          <w:rFonts w:asciiTheme="majorHAnsi" w:hAnsiTheme="majorHAnsi" w:cstheme="majorHAnsi"/>
          <w:b/>
          <w:bCs/>
          <w:noProof/>
        </w:rPr>
      </w:pPr>
      <w:r w:rsidRPr="000D2CAD">
        <w:rPr>
          <w:rFonts w:asciiTheme="majorHAnsi" w:hAnsiTheme="majorHAnsi" w:cstheme="majorHAnsi"/>
          <w:b/>
          <w:bCs/>
          <w:noProof/>
        </w:rPr>
        <w:t>Possible Scenario</w:t>
      </w:r>
    </w:p>
    <w:p w:rsidRPr="000D2CAD" w:rsidR="00B072FF" w:rsidP="00B072FF" w:rsidRDefault="00B072FF" w14:paraId="56939BEA" w14:textId="77777777">
      <w:pPr>
        <w:tabs>
          <w:tab w:val="num" w:pos="720"/>
        </w:tabs>
        <w:rPr>
          <w:rFonts w:asciiTheme="majorHAnsi" w:hAnsiTheme="majorHAnsi" w:cstheme="majorHAnsi"/>
          <w:b/>
          <w:bCs/>
          <w:noProof/>
        </w:rPr>
      </w:pPr>
    </w:p>
    <w:p w:rsidR="0004374C" w:rsidP="0004374C" w:rsidRDefault="00B072FF" w14:paraId="4A9974CB" w14:textId="33ADFF76">
      <w:r>
        <w:rPr>
          <w:rFonts w:asciiTheme="majorHAnsi" w:hAnsiTheme="majorHAnsi" w:cstheme="majorHAnsi"/>
          <w:noProof/>
        </w:rPr>
        <w:tab/>
      </w:r>
      <w:r w:rsidR="0004374C">
        <w:rPr>
          <w:rFonts w:asciiTheme="majorHAnsi" w:hAnsiTheme="majorHAnsi" w:cstheme="majorHAnsi"/>
          <w:noProof/>
        </w:rPr>
        <w:t>The document</w:t>
      </w:r>
      <w:r w:rsidRPr="000D2CAD">
        <w:rPr>
          <w:rFonts w:asciiTheme="majorHAnsi" w:hAnsiTheme="majorHAnsi" w:cstheme="majorHAnsi"/>
        </w:rPr>
        <w:t xml:space="preserve"> Task 7.2 Simplified Scenario Development guide</w:t>
      </w:r>
      <w:r>
        <w:rPr>
          <w:rFonts w:asciiTheme="majorHAnsi" w:hAnsiTheme="majorHAnsi" w:cstheme="majorHAnsi"/>
        </w:rPr>
        <w:t xml:space="preserve">, </w:t>
      </w:r>
      <w:r w:rsidRPr="000D2CAD">
        <w:rPr>
          <w:rFonts w:asciiTheme="majorHAnsi" w:hAnsiTheme="majorHAnsi" w:cstheme="majorHAnsi"/>
        </w:rPr>
        <w:t>available at </w:t>
      </w:r>
      <w:hyperlink w:tgtFrame="_blank" w:history="1" r:id="rId8">
        <w:r w:rsidRPr="000D2CAD">
          <w:rPr>
            <w:rStyle w:val="Hyperlink"/>
            <w:rFonts w:asciiTheme="majorHAnsi" w:hAnsiTheme="majorHAnsi" w:cstheme="majorHAnsi"/>
          </w:rPr>
          <w:t>A Playbook for Simplified Approaches for Creating Scenarios in VisionEval</w:t>
        </w:r>
      </w:hyperlink>
      <w:r>
        <w:t xml:space="preserve">, </w:t>
      </w:r>
      <w:r w:rsidR="0004374C">
        <w:t>indicates that “growth allocation…</w:t>
      </w:r>
      <w:r w:rsidRPr="0004374C" w:rsidR="0004374C">
        <w:t>allows the user to allocate different proportions of single family/multi-family/and group quarter housing units to the urban or town areas of a region</w:t>
      </w:r>
      <w:r w:rsidR="0004374C">
        <w:t xml:space="preserve">” with the same document suggesting that for different allocation methods (e.g., growth from 2024-2045 perhaps is all in a rural portion of a zone or is all in an urban portion of a zone), one might be interested in the following outputs from VisionEval:  total VMT, VMT per household, greenhouse gas emissions, fuel consumption, </w:t>
      </w:r>
      <w:r w:rsidR="00642414">
        <w:t>and walk trips and bike trips.</w:t>
      </w:r>
    </w:p>
    <w:p w:rsidR="007B288B" w:rsidP="00C02EBC" w:rsidRDefault="007B288B" w14:paraId="03529DEA" w14:textId="77777777"/>
    <w:p w:rsidR="006957F8" w:rsidP="00E1293E" w:rsidRDefault="006957F8" w14:paraId="2C72CCCC" w14:textId="4D4FB7B0">
      <w:pPr>
        <w:rPr>
          <w:rFonts w:ascii="Calibri" w:hAnsi="Calibri" w:cs="Calibri"/>
          <w:b/>
          <w:bCs/>
          <w:color w:val="000000" w:themeColor="text1"/>
        </w:rPr>
      </w:pPr>
      <w:r>
        <w:rPr>
          <w:rFonts w:ascii="Calibri" w:hAnsi="Calibri" w:cs="Calibri"/>
          <w:b/>
          <w:bCs/>
          <w:color w:val="000000" w:themeColor="text1"/>
        </w:rPr>
        <w:t>Method Used for Virginia</w:t>
      </w:r>
    </w:p>
    <w:p w:rsidR="006957F8" w:rsidP="00E1293E" w:rsidRDefault="006957F8" w14:paraId="6A24C613" w14:textId="77777777">
      <w:pPr>
        <w:rPr>
          <w:rFonts w:ascii="Calibri" w:hAnsi="Calibri" w:cs="Calibri"/>
          <w:b/>
          <w:bCs/>
          <w:color w:val="000000" w:themeColor="text1"/>
        </w:rPr>
      </w:pPr>
    </w:p>
    <w:p w:rsidR="00AB07A7" w:rsidP="00642414" w:rsidRDefault="00642414" w14:paraId="5A3089D8" w14:textId="613499D2">
      <w:pPr>
        <w:ind w:firstLine="360"/>
        <w:rPr>
          <w:rFonts w:asciiTheme="majorHAnsi" w:hAnsiTheme="majorHAnsi" w:cstheme="majorHAnsi"/>
        </w:rPr>
      </w:pPr>
      <w:r>
        <w:rPr>
          <w:rFonts w:asciiTheme="majorHAnsi" w:hAnsiTheme="majorHAnsi" w:cstheme="majorHAnsi"/>
          <w:color w:val="000000" w:themeColor="text1"/>
        </w:rPr>
        <w:t xml:space="preserve">The approach used here followed that shown in </w:t>
      </w:r>
      <w:r>
        <w:rPr>
          <w:rFonts w:asciiTheme="majorHAnsi" w:hAnsiTheme="majorHAnsi" w:cstheme="majorHAnsi"/>
        </w:rPr>
        <w:t>29_bzone_unprotected_area</w:t>
      </w:r>
      <w:r>
        <w:rPr>
          <w:rFonts w:asciiTheme="majorHAnsi" w:hAnsiTheme="majorHAnsi" w:cstheme="majorHAnsi"/>
        </w:rPr>
        <w:t>, where the bzone classifications were obtained.  Generally bzones were all urban, all town, or a mix of town and rural.  Then, for bzones that were all urban or all town, 100% of the dwelling units were placed in urban or town.  For bzones that had a mix of rural and town, the research team did the following:</w:t>
      </w:r>
    </w:p>
    <w:p w:rsidR="00642414" w:rsidP="00642414" w:rsidRDefault="00642414" w14:paraId="323485E6" w14:textId="77777777">
      <w:pPr>
        <w:ind w:firstLine="360"/>
        <w:rPr>
          <w:rFonts w:asciiTheme="majorHAnsi" w:hAnsiTheme="majorHAnsi" w:cstheme="majorHAnsi"/>
        </w:rPr>
      </w:pPr>
    </w:p>
    <w:p w:rsidR="00642414" w:rsidP="105E4589" w:rsidRDefault="00642414" w14:paraId="5DC960F3" w14:textId="5D83D4F6">
      <w:pPr>
        <w:pStyle w:val="ListParagraph"/>
        <w:numPr>
          <w:ilvl w:val="0"/>
          <w:numId w:val="12"/>
        </w:numPr>
        <w:rPr>
          <w:rFonts w:ascii="Calibri" w:hAnsi="Calibri" w:cs="Calibri" w:asciiTheme="majorAscii" w:hAnsiTheme="majorAscii" w:cstheme="majorAscii"/>
          <w:color w:val="000000" w:themeColor="text1"/>
          <w:lang w:val="en-US"/>
        </w:rPr>
      </w:pPr>
      <w:r w:rsidRPr="105E4589" w:rsidR="00642414">
        <w:rPr>
          <w:rFonts w:ascii="Calibri" w:hAnsi="Calibri" w:cs="Calibri" w:asciiTheme="majorAscii" w:hAnsiTheme="majorAscii" w:cstheme="majorAscii"/>
          <w:color w:val="000000" w:themeColor="text1" w:themeTint="FF" w:themeShade="FF"/>
          <w:lang w:val="en-US"/>
        </w:rPr>
        <w:t>Place 30% of all single family dwelling units in the town portion</w:t>
      </w:r>
    </w:p>
    <w:p w:rsidR="00642414" w:rsidP="105E4589" w:rsidRDefault="00642414" w14:paraId="4CAF2B42" w14:textId="2B09C780">
      <w:pPr>
        <w:pStyle w:val="ListParagraph"/>
        <w:numPr>
          <w:ilvl w:val="0"/>
          <w:numId w:val="12"/>
        </w:numPr>
        <w:rPr>
          <w:rFonts w:ascii="Calibri" w:hAnsi="Calibri" w:cs="Calibri" w:asciiTheme="majorAscii" w:hAnsiTheme="majorAscii" w:cstheme="majorAscii"/>
          <w:color w:val="000000" w:themeColor="text1"/>
          <w:lang w:val="en-US"/>
        </w:rPr>
      </w:pPr>
      <w:r w:rsidRPr="105E4589" w:rsidR="00642414">
        <w:rPr>
          <w:rFonts w:ascii="Calibri" w:hAnsi="Calibri" w:cs="Calibri" w:asciiTheme="majorAscii" w:hAnsiTheme="majorAscii" w:cstheme="majorAscii"/>
          <w:color w:val="000000" w:themeColor="text1" w:themeTint="FF" w:themeShade="FF"/>
          <w:lang w:val="en-US"/>
        </w:rPr>
        <w:t>Place 100% of all multifamily dwelling units and group quarters dwelling units in the town portion.</w:t>
      </w:r>
    </w:p>
    <w:p w:rsidR="00642414" w:rsidP="00642414" w:rsidRDefault="00642414" w14:paraId="2D43C423" w14:textId="77777777">
      <w:pPr>
        <w:rPr>
          <w:rFonts w:asciiTheme="majorHAnsi" w:hAnsiTheme="majorHAnsi" w:cstheme="majorHAnsi"/>
          <w:color w:val="000000" w:themeColor="text1"/>
        </w:rPr>
      </w:pPr>
    </w:p>
    <w:p w:rsidRPr="00642414" w:rsidR="00642414" w:rsidP="00642414" w:rsidRDefault="00642414" w14:paraId="41ABAD72" w14:textId="549AE45F">
      <w:pPr>
        <w:rPr>
          <w:rFonts w:asciiTheme="majorHAnsi" w:hAnsiTheme="majorHAnsi" w:cstheme="majorHAnsi"/>
          <w:b/>
          <w:bCs/>
          <w:color w:val="000000" w:themeColor="text1"/>
        </w:rPr>
      </w:pPr>
      <w:r w:rsidRPr="00642414">
        <w:rPr>
          <w:rFonts w:asciiTheme="majorHAnsi" w:hAnsiTheme="majorHAnsi" w:cstheme="majorHAnsi"/>
          <w:b/>
          <w:bCs/>
          <w:color w:val="000000" w:themeColor="text1"/>
        </w:rPr>
        <w:t>Notes for internal use</w:t>
      </w:r>
    </w:p>
    <w:p w:rsidR="00642414" w:rsidP="00642414" w:rsidRDefault="00642414" w14:paraId="35CED1FD" w14:textId="77777777">
      <w:pPr>
        <w:rPr>
          <w:rFonts w:asciiTheme="majorHAnsi" w:hAnsiTheme="majorHAnsi" w:cstheme="majorHAnsi"/>
          <w:color w:val="000000" w:themeColor="text1"/>
        </w:rPr>
      </w:pPr>
      <w:r w:rsidRPr="00642414">
        <w:rPr>
          <w:rFonts w:asciiTheme="majorHAnsi" w:hAnsiTheme="majorHAnsi" w:cstheme="majorHAnsi"/>
          <w:color w:val="000000" w:themeColor="text1"/>
        </w:rPr>
        <w:tab/>
      </w:r>
    </w:p>
    <w:p w:rsidRPr="00642414" w:rsidR="00642414" w:rsidP="00642414" w:rsidRDefault="00642414" w14:paraId="5DEF8750" w14:textId="6D822B95">
      <w:pPr>
        <w:ind w:firstLine="720"/>
        <w:rPr>
          <w:rFonts w:asciiTheme="majorHAnsi" w:hAnsiTheme="majorHAnsi" w:cstheme="majorHAnsi"/>
          <w:color w:val="000000" w:themeColor="text1"/>
        </w:rPr>
      </w:pPr>
      <w:r w:rsidRPr="00642414">
        <w:rPr>
          <w:rFonts w:asciiTheme="majorHAnsi" w:hAnsiTheme="majorHAnsi" w:cstheme="majorHAnsi"/>
          <w:color w:val="000000" w:themeColor="text1"/>
        </w:rPr>
        <w:t xml:space="preserve">See the description for </w:t>
      </w:r>
      <w:r w:rsidRPr="00642414">
        <w:rPr>
          <w:rFonts w:asciiTheme="majorHAnsi" w:hAnsiTheme="majorHAnsi" w:cstheme="majorHAnsi"/>
        </w:rPr>
        <w:t>data element 29_bzone_unprotected_area</w:t>
      </w:r>
      <w:r w:rsidRPr="00642414">
        <w:rPr>
          <w:rFonts w:asciiTheme="majorHAnsi" w:hAnsiTheme="majorHAnsi" w:cstheme="majorHAnsi"/>
        </w:rPr>
        <w:t>—that’s why this is so short.</w:t>
      </w:r>
    </w:p>
    <w:sectPr w:rsidRPr="00642414" w:rsidR="00642414" w:rsidSect="00642414">
      <w:footerReference w:type="default" r:id="rId9"/>
      <w:pgSz w:w="12240" w:h="15840" w:orient="portrait"/>
      <w:pgMar w:top="576" w:right="720" w:bottom="576"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706E" w:rsidP="006D0531" w:rsidRDefault="00C2706E" w14:paraId="016B582C" w14:textId="77777777">
      <w:r>
        <w:separator/>
      </w:r>
    </w:p>
  </w:endnote>
  <w:endnote w:type="continuationSeparator" w:id="0">
    <w:p w:rsidR="00C2706E" w:rsidP="006D0531" w:rsidRDefault="00C2706E" w14:paraId="50E7F58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881005"/>
      <w:docPartObj>
        <w:docPartGallery w:val="Page Numbers (Bottom of Page)"/>
        <w:docPartUnique/>
      </w:docPartObj>
    </w:sdtPr>
    <w:sdtEndPr>
      <w:rPr>
        <w:noProof/>
      </w:rPr>
    </w:sdtEndPr>
    <w:sdtContent>
      <w:p w:rsidR="006D0531" w:rsidRDefault="006D0531" w14:paraId="369ABA26" w14:textId="7FB25C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D0531" w:rsidRDefault="006D0531" w14:paraId="0FAA0D0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706E" w:rsidP="006D0531" w:rsidRDefault="00C2706E" w14:paraId="0837FA05" w14:textId="77777777">
      <w:r>
        <w:separator/>
      </w:r>
    </w:p>
  </w:footnote>
  <w:footnote w:type="continuationSeparator" w:id="0">
    <w:p w:rsidR="00C2706E" w:rsidP="006D0531" w:rsidRDefault="00C2706E" w14:paraId="3A5BADE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56F"/>
    <w:multiLevelType w:val="hybridMultilevel"/>
    <w:tmpl w:val="25B4E95E"/>
    <w:lvl w:ilvl="0" w:tplc="A3B49B12">
      <w:start w:val="1"/>
      <w:numFmt w:val="decimal"/>
      <w:lvlText w:val="%1."/>
      <w:lvlJc w:val="left"/>
      <w:pPr>
        <w:ind w:left="720" w:hanging="360"/>
      </w:pPr>
      <w:rPr>
        <w:rFonts w:hint="default" w:ascii="Times New Roman" w:hAnsi="Times New Roman"/>
        <w:b w:val="0"/>
        <w:i w:val="0"/>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C4E6E"/>
    <w:multiLevelType w:val="hybridMultilevel"/>
    <w:tmpl w:val="E018A62A"/>
    <w:lvl w:ilvl="0" w:tplc="96E2EA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566F17"/>
    <w:multiLevelType w:val="multilevel"/>
    <w:tmpl w:val="382087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29C309D"/>
    <w:multiLevelType w:val="hybridMultilevel"/>
    <w:tmpl w:val="28C802D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1F9D76AA"/>
    <w:multiLevelType w:val="multilevel"/>
    <w:tmpl w:val="3A4CF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582DC91"/>
    <w:multiLevelType w:val="hybridMultilevel"/>
    <w:tmpl w:val="4F3E9064"/>
    <w:lvl w:ilvl="0" w:tplc="D0029AF0">
      <w:start w:val="3"/>
      <w:numFmt w:val="decimal"/>
      <w:lvlText w:val="%1."/>
      <w:lvlJc w:val="left"/>
      <w:pPr>
        <w:ind w:left="720" w:hanging="360"/>
      </w:pPr>
    </w:lvl>
    <w:lvl w:ilvl="1" w:tplc="65ACEFDE">
      <w:start w:val="1"/>
      <w:numFmt w:val="lowerLetter"/>
      <w:lvlText w:val="%2."/>
      <w:lvlJc w:val="left"/>
      <w:pPr>
        <w:ind w:left="1440" w:hanging="360"/>
      </w:pPr>
    </w:lvl>
    <w:lvl w:ilvl="2" w:tplc="DDF8EE2E">
      <w:start w:val="1"/>
      <w:numFmt w:val="lowerRoman"/>
      <w:lvlText w:val="%3."/>
      <w:lvlJc w:val="right"/>
      <w:pPr>
        <w:ind w:left="2160" w:hanging="180"/>
      </w:pPr>
    </w:lvl>
    <w:lvl w:ilvl="3" w:tplc="EBEC67D2">
      <w:start w:val="1"/>
      <w:numFmt w:val="decimal"/>
      <w:lvlText w:val="%4."/>
      <w:lvlJc w:val="left"/>
      <w:pPr>
        <w:ind w:left="2880" w:hanging="360"/>
      </w:pPr>
    </w:lvl>
    <w:lvl w:ilvl="4" w:tplc="39EEAEAA">
      <w:start w:val="1"/>
      <w:numFmt w:val="lowerLetter"/>
      <w:lvlText w:val="%5."/>
      <w:lvlJc w:val="left"/>
      <w:pPr>
        <w:ind w:left="3600" w:hanging="360"/>
      </w:pPr>
    </w:lvl>
    <w:lvl w:ilvl="5" w:tplc="47E0B1EC">
      <w:start w:val="1"/>
      <w:numFmt w:val="lowerRoman"/>
      <w:lvlText w:val="%6."/>
      <w:lvlJc w:val="right"/>
      <w:pPr>
        <w:ind w:left="4320" w:hanging="180"/>
      </w:pPr>
    </w:lvl>
    <w:lvl w:ilvl="6" w:tplc="45F6511A">
      <w:start w:val="1"/>
      <w:numFmt w:val="decimal"/>
      <w:lvlText w:val="%7."/>
      <w:lvlJc w:val="left"/>
      <w:pPr>
        <w:ind w:left="5040" w:hanging="360"/>
      </w:pPr>
    </w:lvl>
    <w:lvl w:ilvl="7" w:tplc="C7DCFB9C">
      <w:start w:val="1"/>
      <w:numFmt w:val="lowerLetter"/>
      <w:lvlText w:val="%8."/>
      <w:lvlJc w:val="left"/>
      <w:pPr>
        <w:ind w:left="5760" w:hanging="360"/>
      </w:pPr>
    </w:lvl>
    <w:lvl w:ilvl="8" w:tplc="35B606B6">
      <w:start w:val="1"/>
      <w:numFmt w:val="lowerRoman"/>
      <w:lvlText w:val="%9."/>
      <w:lvlJc w:val="right"/>
      <w:pPr>
        <w:ind w:left="6480" w:hanging="180"/>
      </w:pPr>
    </w:lvl>
  </w:abstractNum>
  <w:abstractNum w:abstractNumId="6" w15:restartNumberingAfterBreak="0">
    <w:nsid w:val="3BC52CE9"/>
    <w:multiLevelType w:val="multilevel"/>
    <w:tmpl w:val="3E76AB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CF94F83"/>
    <w:multiLevelType w:val="multilevel"/>
    <w:tmpl w:val="2B723D92"/>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8" w15:restartNumberingAfterBreak="0">
    <w:nsid w:val="546D19B6"/>
    <w:multiLevelType w:val="multilevel"/>
    <w:tmpl w:val="17127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E19333B"/>
    <w:multiLevelType w:val="multilevel"/>
    <w:tmpl w:val="17127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56E5A09"/>
    <w:multiLevelType w:val="multilevel"/>
    <w:tmpl w:val="9EF841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CF63C2A"/>
    <w:multiLevelType w:val="hybridMultilevel"/>
    <w:tmpl w:val="9F90CF3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990208410">
    <w:abstractNumId w:val="9"/>
  </w:num>
  <w:num w:numId="2" w16cid:durableId="1738824453">
    <w:abstractNumId w:val="3"/>
  </w:num>
  <w:num w:numId="3" w16cid:durableId="1201821644">
    <w:abstractNumId w:val="5"/>
  </w:num>
  <w:num w:numId="4" w16cid:durableId="830607175">
    <w:abstractNumId w:val="7"/>
  </w:num>
  <w:num w:numId="5" w16cid:durableId="1382091793">
    <w:abstractNumId w:val="0"/>
  </w:num>
  <w:num w:numId="6" w16cid:durableId="175582219">
    <w:abstractNumId w:val="1"/>
  </w:num>
  <w:num w:numId="7" w16cid:durableId="1175876530">
    <w:abstractNumId w:val="8"/>
  </w:num>
  <w:num w:numId="8" w16cid:durableId="2075003701">
    <w:abstractNumId w:val="6"/>
  </w:num>
  <w:num w:numId="9" w16cid:durableId="137455987">
    <w:abstractNumId w:val="2"/>
  </w:num>
  <w:num w:numId="10" w16cid:durableId="2080860012">
    <w:abstractNumId w:val="4"/>
  </w:num>
  <w:num w:numId="11" w16cid:durableId="1128277082">
    <w:abstractNumId w:val="10"/>
  </w:num>
  <w:num w:numId="12" w16cid:durableId="573246287">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AB4"/>
    <w:rsid w:val="0003781E"/>
    <w:rsid w:val="0004374C"/>
    <w:rsid w:val="000F4CEB"/>
    <w:rsid w:val="00123356"/>
    <w:rsid w:val="001679D3"/>
    <w:rsid w:val="002B46CA"/>
    <w:rsid w:val="00324999"/>
    <w:rsid w:val="003D0B59"/>
    <w:rsid w:val="004F7EDA"/>
    <w:rsid w:val="005A17F4"/>
    <w:rsid w:val="00605B24"/>
    <w:rsid w:val="00642414"/>
    <w:rsid w:val="00691900"/>
    <w:rsid w:val="006957F8"/>
    <w:rsid w:val="006A75D4"/>
    <w:rsid w:val="006D0531"/>
    <w:rsid w:val="006F51F5"/>
    <w:rsid w:val="007517B2"/>
    <w:rsid w:val="00793691"/>
    <w:rsid w:val="007A0844"/>
    <w:rsid w:val="007B288B"/>
    <w:rsid w:val="008526A5"/>
    <w:rsid w:val="00856CD9"/>
    <w:rsid w:val="0091163C"/>
    <w:rsid w:val="009514CD"/>
    <w:rsid w:val="009F77BE"/>
    <w:rsid w:val="00A35C4B"/>
    <w:rsid w:val="00A50574"/>
    <w:rsid w:val="00AB07A7"/>
    <w:rsid w:val="00B072FF"/>
    <w:rsid w:val="00B24F2C"/>
    <w:rsid w:val="00B35C1D"/>
    <w:rsid w:val="00B62253"/>
    <w:rsid w:val="00B8361C"/>
    <w:rsid w:val="00C02EBC"/>
    <w:rsid w:val="00C16017"/>
    <w:rsid w:val="00C2706E"/>
    <w:rsid w:val="00C53001"/>
    <w:rsid w:val="00CD530A"/>
    <w:rsid w:val="00D02C05"/>
    <w:rsid w:val="00DA588B"/>
    <w:rsid w:val="00DA7110"/>
    <w:rsid w:val="00DC5EC0"/>
    <w:rsid w:val="00E1293E"/>
    <w:rsid w:val="00E27AB4"/>
    <w:rsid w:val="00E5645C"/>
    <w:rsid w:val="00E85F09"/>
    <w:rsid w:val="00E927EA"/>
    <w:rsid w:val="03F9AFF9"/>
    <w:rsid w:val="061E7AFC"/>
    <w:rsid w:val="105E4589"/>
    <w:rsid w:val="2B5842D7"/>
    <w:rsid w:val="4F00C668"/>
    <w:rsid w:val="4FA03B82"/>
    <w:rsid w:val="59E8E4D6"/>
    <w:rsid w:val="6798D3D8"/>
    <w:rsid w:val="69050488"/>
    <w:rsid w:val="7FFDA3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A93A8"/>
  <w15:docId w15:val="{22949F98-EA6C-429D-BD38-8E608F28BD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16017"/>
    <w:pPr>
      <w:spacing w:line="240" w:lineRule="auto"/>
    </w:pPr>
    <w:rPr>
      <w:rFonts w:ascii="Times New Roman" w:hAnsi="Times New Roman" w:eastAsia="Times New Roman" w:cs="Times New Roman"/>
      <w:sz w:val="24"/>
      <w:szCs w:val="24"/>
      <w:lang w:val="en-US" w:eastAsia="en-US"/>
    </w:rPr>
  </w:style>
  <w:style w:type="paragraph" w:styleId="Heading1">
    <w:name w:val="heading 1"/>
    <w:basedOn w:val="Normal"/>
    <w:next w:val="Normal"/>
    <w:uiPriority w:val="9"/>
    <w:qFormat/>
    <w:pPr>
      <w:keepNext/>
      <w:keepLines/>
      <w:spacing w:before="400" w:after="120" w:line="276" w:lineRule="auto"/>
      <w:outlineLvl w:val="0"/>
    </w:pPr>
    <w:rPr>
      <w:rFonts w:ascii="Arial" w:hAnsi="Arial" w:eastAsia="Arial" w:cs="Arial"/>
      <w:sz w:val="40"/>
      <w:szCs w:val="40"/>
      <w:lang w:val="en" w:eastAsia="ja-JP"/>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hAnsi="Arial" w:eastAsia="Arial" w:cs="Arial"/>
      <w:sz w:val="32"/>
      <w:szCs w:val="32"/>
      <w:lang w:val="en" w:eastAsia="ja-JP"/>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hAnsi="Arial" w:eastAsia="Arial" w:cs="Arial"/>
      <w:color w:val="434343"/>
      <w:sz w:val="28"/>
      <w:szCs w:val="28"/>
      <w:lang w:val="en" w:eastAsia="ja-JP"/>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hAnsi="Arial" w:eastAsia="Arial" w:cs="Arial"/>
      <w:color w:val="666666"/>
      <w:lang w:val="en" w:eastAsia="ja-JP"/>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hAnsi="Arial" w:eastAsia="Arial" w:cs="Arial"/>
      <w:color w:val="666666"/>
      <w:sz w:val="22"/>
      <w:szCs w:val="22"/>
      <w:lang w:val="en" w:eastAsia="ja-JP"/>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hAnsi="Arial" w:eastAsia="Arial" w:cs="Arial"/>
      <w:i/>
      <w:color w:val="666666"/>
      <w:sz w:val="22"/>
      <w:szCs w:val="22"/>
      <w:lang w:val="en" w:eastAsia="ja-JP"/>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line="276" w:lineRule="auto"/>
    </w:pPr>
    <w:rPr>
      <w:rFonts w:ascii="Arial" w:hAnsi="Arial" w:eastAsia="Arial" w:cs="Arial"/>
      <w:sz w:val="52"/>
      <w:szCs w:val="52"/>
      <w:lang w:val="en" w:eastAsia="ja-JP"/>
    </w:rPr>
  </w:style>
  <w:style w:type="paragraph" w:styleId="Subtitle">
    <w:name w:val="Subtitle"/>
    <w:basedOn w:val="Normal"/>
    <w:next w:val="Normal"/>
    <w:uiPriority w:val="11"/>
    <w:qFormat/>
    <w:pPr>
      <w:keepNext/>
      <w:keepLines/>
      <w:spacing w:after="320" w:line="276" w:lineRule="auto"/>
    </w:pPr>
    <w:rPr>
      <w:rFonts w:ascii="Arial" w:hAnsi="Arial" w:eastAsia="Arial" w:cs="Arial"/>
      <w:color w:val="666666"/>
      <w:sz w:val="30"/>
      <w:szCs w:val="30"/>
      <w:lang w:val="en" w:eastAsia="ja-JP"/>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7B288B"/>
    <w:rPr>
      <w:color w:val="0000FF"/>
      <w:u w:val="single"/>
    </w:rPr>
  </w:style>
  <w:style w:type="character" w:styleId="UnresolvedMention">
    <w:name w:val="Unresolved Mention"/>
    <w:basedOn w:val="DefaultParagraphFont"/>
    <w:uiPriority w:val="99"/>
    <w:semiHidden/>
    <w:unhideWhenUsed/>
    <w:rsid w:val="007B288B"/>
    <w:rPr>
      <w:color w:val="605E5C"/>
      <w:shd w:val="clear" w:color="auto" w:fill="E1DFDD"/>
    </w:rPr>
  </w:style>
  <w:style w:type="paragraph" w:styleId="ListParagraph">
    <w:name w:val="List Paragraph"/>
    <w:basedOn w:val="Normal"/>
    <w:uiPriority w:val="34"/>
    <w:qFormat/>
    <w:rsid w:val="00605B24"/>
    <w:pPr>
      <w:spacing w:line="276" w:lineRule="auto"/>
      <w:ind w:left="720"/>
      <w:contextualSpacing/>
    </w:pPr>
    <w:rPr>
      <w:rFonts w:ascii="Arial" w:hAnsi="Arial" w:eastAsia="Arial" w:cs="Arial"/>
      <w:sz w:val="22"/>
      <w:szCs w:val="22"/>
      <w:lang w:val="en" w:eastAsia="ja-JP"/>
    </w:rPr>
  </w:style>
  <w:style w:type="paragraph" w:styleId="Header">
    <w:name w:val="header"/>
    <w:basedOn w:val="Normal"/>
    <w:link w:val="HeaderChar"/>
    <w:uiPriority w:val="99"/>
    <w:unhideWhenUsed/>
    <w:rsid w:val="006D0531"/>
    <w:pPr>
      <w:tabs>
        <w:tab w:val="center" w:pos="4680"/>
        <w:tab w:val="right" w:pos="9360"/>
      </w:tabs>
    </w:pPr>
  </w:style>
  <w:style w:type="character" w:styleId="HeaderChar" w:customStyle="1">
    <w:name w:val="Header Char"/>
    <w:basedOn w:val="DefaultParagraphFont"/>
    <w:link w:val="Header"/>
    <w:uiPriority w:val="99"/>
    <w:rsid w:val="006D0531"/>
    <w:rPr>
      <w:rFonts w:ascii="Times New Roman" w:hAnsi="Times New Roman" w:eastAsia="Times New Roman" w:cs="Times New Roman"/>
      <w:sz w:val="24"/>
      <w:szCs w:val="24"/>
      <w:lang w:val="en-US" w:eastAsia="en-US"/>
    </w:rPr>
  </w:style>
  <w:style w:type="paragraph" w:styleId="Footer">
    <w:name w:val="footer"/>
    <w:basedOn w:val="Normal"/>
    <w:link w:val="FooterChar"/>
    <w:uiPriority w:val="99"/>
    <w:unhideWhenUsed/>
    <w:rsid w:val="006D0531"/>
    <w:pPr>
      <w:tabs>
        <w:tab w:val="center" w:pos="4680"/>
        <w:tab w:val="right" w:pos="9360"/>
      </w:tabs>
    </w:pPr>
  </w:style>
  <w:style w:type="character" w:styleId="FooterChar" w:customStyle="1">
    <w:name w:val="Footer Char"/>
    <w:basedOn w:val="DefaultParagraphFont"/>
    <w:link w:val="Footer"/>
    <w:uiPriority w:val="99"/>
    <w:rsid w:val="006D0531"/>
    <w:rPr>
      <w:rFonts w:ascii="Times New Roman" w:hAnsi="Times New Roman" w:eastAsia="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yperlink" Target="https://virginia.box.com/s/irjud9jhn28x5w6kq0gjz1ytm484wu74" TargetMode="Externa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Lutz, Hunter Frederick (mty9zs)</lastModifiedBy>
  <revision>18</revision>
  <dcterms:created xsi:type="dcterms:W3CDTF">2025-08-02T13:09:00.0000000Z</dcterms:created>
  <dcterms:modified xsi:type="dcterms:W3CDTF">2026-06-23T14:33:20.5609371Z</dcterms:modified>
</coreProperties>
</file>