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4E53" w14:textId="007FAA98" w:rsidR="005C21DD" w:rsidRPr="00EB0F0D" w:rsidRDefault="005C21DD" w:rsidP="005C21DD">
      <w:pPr>
        <w:jc w:val="center"/>
        <w:rPr>
          <w:rFonts w:ascii="Calibri" w:hAnsi="Calibri" w:cs="Calibri"/>
          <w:b/>
          <w:bCs/>
        </w:rPr>
      </w:pPr>
      <w:r w:rsidRPr="00EB0F0D">
        <w:rPr>
          <w:rFonts w:ascii="Calibri" w:hAnsi="Calibri" w:cs="Calibri"/>
          <w:b/>
          <w:bCs/>
        </w:rPr>
        <w:t xml:space="preserve">File </w:t>
      </w:r>
      <w:r w:rsidR="000A30FD">
        <w:rPr>
          <w:rFonts w:ascii="Calibri" w:hAnsi="Calibri" w:cs="Calibri"/>
          <w:b/>
          <w:bCs/>
        </w:rPr>
        <w:t>5</w:t>
      </w:r>
      <w:r w:rsidRPr="00EB0F0D">
        <w:rPr>
          <w:rFonts w:ascii="Calibri" w:hAnsi="Calibri" w:cs="Calibri"/>
          <w:b/>
          <w:bCs/>
        </w:rPr>
        <w:t>2_</w:t>
      </w:r>
      <w:r w:rsidR="000A30FD">
        <w:rPr>
          <w:rFonts w:ascii="Calibri" w:hAnsi="Calibri" w:cs="Calibri" w:hint="eastAsia"/>
          <w:b/>
          <w:bCs/>
          <w:lang w:eastAsia="ko-KR"/>
        </w:rPr>
        <w:t>r</w:t>
      </w:r>
      <w:r w:rsidR="000A30FD">
        <w:rPr>
          <w:rFonts w:ascii="Calibri" w:hAnsi="Calibri" w:cs="Calibri"/>
          <w:b/>
          <w:bCs/>
          <w:lang w:eastAsia="ko-KR"/>
        </w:rPr>
        <w:t>egion_road_cost</w:t>
      </w:r>
      <w:r w:rsidR="00042E30">
        <w:rPr>
          <w:rFonts w:ascii="Calibri" w:hAnsi="Calibri" w:cs="Calibri"/>
          <w:b/>
          <w:bCs/>
        </w:rPr>
        <w:t>.csv</w:t>
      </w:r>
    </w:p>
    <w:p w14:paraId="47F8069C" w14:textId="18ADCD65" w:rsidR="005C21DD" w:rsidRPr="00EB0F0D" w:rsidRDefault="000A30FD" w:rsidP="005C21DD">
      <w:pPr>
        <w:jc w:val="center"/>
        <w:rPr>
          <w:rFonts w:ascii="Calibri" w:hAnsi="Calibri" w:cs="Calibri"/>
          <w:b/>
          <w:bCs/>
        </w:rPr>
      </w:pPr>
      <w:r>
        <w:rPr>
          <w:rFonts w:ascii="Calibri" w:hAnsi="Calibri" w:cs="Calibri"/>
          <w:b/>
          <w:bCs/>
        </w:rPr>
        <w:t>May</w:t>
      </w:r>
      <w:r w:rsidR="005C21DD" w:rsidRPr="00EB0F0D">
        <w:rPr>
          <w:rFonts w:ascii="Calibri" w:hAnsi="Calibri" w:cs="Calibri"/>
          <w:b/>
          <w:bCs/>
        </w:rPr>
        <w:t xml:space="preserve"> </w:t>
      </w:r>
      <w:r>
        <w:rPr>
          <w:rFonts w:ascii="Calibri" w:hAnsi="Calibri" w:cs="Calibri"/>
          <w:b/>
          <w:bCs/>
        </w:rPr>
        <w:t>12</w:t>
      </w:r>
      <w:r w:rsidR="005C21DD" w:rsidRPr="00EB0F0D">
        <w:rPr>
          <w:rFonts w:ascii="Calibri" w:hAnsi="Calibri" w:cs="Calibri"/>
          <w:b/>
          <w:bCs/>
        </w:rPr>
        <w:t>,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735C8CF5" w14:textId="00EDD928" w:rsidR="000A30FD" w:rsidRPr="000A30FD" w:rsidRDefault="005C21DD" w:rsidP="000A30FD">
      <w:pPr>
        <w:rPr>
          <w:rFonts w:ascii="Calibri" w:eastAsia="MS Mincho" w:hAnsi="Calibri" w:cs="Calibri"/>
        </w:rPr>
      </w:pPr>
      <w:r w:rsidRPr="00EB0F0D">
        <w:rPr>
          <w:rFonts w:ascii="Calibri" w:hAnsi="Calibri" w:cs="Calibri"/>
        </w:rPr>
        <w:tab/>
        <w:t>VisionEval (</w:t>
      </w:r>
      <w:hyperlink r:id="rId7" w:history="1">
        <w:r w:rsidRPr="00EB0F0D">
          <w:rPr>
            <w:rStyle w:val="Hyperlink"/>
            <w:rFonts w:ascii="Calibri" w:hAnsi="Calibri" w:cs="Calibri"/>
          </w:rPr>
          <w:t>https://visioneval.github.io/docs/model-inputs.html</w:t>
        </w:r>
      </w:hyperlink>
      <w:r w:rsidRPr="00EB0F0D">
        <w:rPr>
          <w:rFonts w:ascii="Calibri" w:hAnsi="Calibri" w:cs="Calibri"/>
        </w:rPr>
        <w:t xml:space="preserve">) explains that </w:t>
      </w:r>
      <w:r w:rsidR="008973C6">
        <w:rPr>
          <w:rFonts w:ascii="Calibri" w:hAnsi="Calibri" w:cs="Calibri"/>
        </w:rPr>
        <w:t>t</w:t>
      </w:r>
      <w:r w:rsidR="008973C6" w:rsidRPr="008973C6">
        <w:rPr>
          <w:rFonts w:ascii="Calibri" w:hAnsi="Calibri" w:cs="Calibri"/>
        </w:rPr>
        <w:t xml:space="preserve">his file contains </w:t>
      </w:r>
      <w:r w:rsidR="000A30FD">
        <w:rPr>
          <w:rFonts w:ascii="Calibri" w:hAnsi="Calibri" w:cs="Calibri"/>
        </w:rPr>
        <w:t>different types of road costs.</w:t>
      </w:r>
      <w:r w:rsidR="008973C6">
        <w:rPr>
          <w:rFonts w:ascii="Calibri" w:hAnsi="Calibri" w:cs="Calibri" w:hint="eastAsia"/>
          <w:lang w:eastAsia="ko-KR"/>
        </w:rPr>
        <w:t xml:space="preserve"> </w:t>
      </w:r>
      <w:r w:rsidRPr="00EB0F0D">
        <w:rPr>
          <w:rFonts w:ascii="Calibri" w:eastAsia="Calibri" w:hAnsi="Calibri" w:cs="Calibri"/>
          <w:color w:val="000000" w:themeColor="text1"/>
        </w:rPr>
        <w:t xml:space="preserve">This file contains </w:t>
      </w:r>
      <w:r w:rsidR="00E00B8E">
        <w:rPr>
          <w:rFonts w:ascii="Calibri" w:eastAsia="Calibri" w:hAnsi="Calibri" w:cs="Calibri"/>
          <w:color w:val="000000" w:themeColor="text1"/>
        </w:rPr>
        <w:t xml:space="preserve">six </w:t>
      </w:r>
      <w:r w:rsidRPr="00EB0F0D">
        <w:rPr>
          <w:rFonts w:ascii="Calibri" w:eastAsia="Calibri" w:hAnsi="Calibri" w:cs="Calibri"/>
          <w:color w:val="000000" w:themeColor="text1"/>
        </w:rPr>
        <w:t>attributes:</w:t>
      </w:r>
    </w:p>
    <w:p w14:paraId="6BBF7F8B" w14:textId="77777777" w:rsidR="000A30FD" w:rsidRPr="000A30FD" w:rsidRDefault="000A30FD" w:rsidP="000A30FD">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RoadBaseModCost: Average base modernization cost per light-duty vehicle mile traveled (dollars per vehicle mile). Base modernization includes roadway improvements exclusive of addition of lanes.</w:t>
      </w:r>
    </w:p>
    <w:p w14:paraId="2C8CF4B4" w14:textId="77777777" w:rsidR="000A30FD" w:rsidRPr="000A30FD" w:rsidRDefault="000A30FD" w:rsidP="000A30FD">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RoadPresOpMaintCost: Average road preservation, operations, and maintenance cost per light-duty vehicle mile traveled (dollars per vehicle mile).</w:t>
      </w:r>
    </w:p>
    <w:p w14:paraId="369464F3" w14:textId="77777777" w:rsidR="000A30FD" w:rsidRPr="000A30FD" w:rsidRDefault="000A30FD" w:rsidP="000A30FD">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RoadOtherCost: Average other road cost (e.g. administration, planning, project development, safety) per light-duty vehicle mile traveled (dollars per vehicle mile).</w:t>
      </w:r>
    </w:p>
    <w:p w14:paraId="75F183A8" w14:textId="77777777" w:rsidR="000A30FD" w:rsidRPr="000A30FD" w:rsidRDefault="000A30FD" w:rsidP="000A30FD">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FwyLnMiCost: Average cost to build one freeway lane-mile (dollars per lane-mile)</w:t>
      </w:r>
    </w:p>
    <w:p w14:paraId="4D54CBE0" w14:textId="77777777" w:rsidR="000A30FD" w:rsidRPr="000A30FD" w:rsidRDefault="000A30FD" w:rsidP="000A30FD">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ArtLnMiCost: Average cost to build one arterial lane-mile (dollars per lane-mile)</w:t>
      </w:r>
    </w:p>
    <w:p w14:paraId="7581531D" w14:textId="56DC185E" w:rsidR="001970BA" w:rsidRPr="001970BA" w:rsidRDefault="000A30FD" w:rsidP="001970BA">
      <w:pPr>
        <w:pStyle w:val="ListParagraph"/>
        <w:numPr>
          <w:ilvl w:val="0"/>
          <w:numId w:val="1"/>
        </w:numPr>
        <w:rPr>
          <w:rFonts w:ascii="Calibri" w:eastAsia="Calibri" w:hAnsi="Calibri" w:cs="Calibri"/>
          <w:color w:val="000000" w:themeColor="text1"/>
        </w:rPr>
      </w:pPr>
      <w:r w:rsidRPr="000A30FD">
        <w:rPr>
          <w:rFonts w:ascii="Calibri" w:eastAsia="Calibri" w:hAnsi="Calibri" w:cs="Calibri"/>
          <w:color w:val="000000" w:themeColor="text1"/>
        </w:rPr>
        <w:t>HvyTrkPCE: Passenger car equivalent (PCE) for heavy trucks. PCE indicates the number of light-duty vehicles a heavy truck is equivalent to in calculating road capacity.</w:t>
      </w:r>
    </w:p>
    <w:p w14:paraId="7AE58D00" w14:textId="3B32C47C" w:rsidR="005C21DD" w:rsidRPr="001970BA" w:rsidRDefault="005C21DD" w:rsidP="001970BA">
      <w:pPr>
        <w:ind w:firstLine="720"/>
        <w:rPr>
          <w:rFonts w:ascii="Calibri" w:eastAsia="MS Mincho" w:hAnsi="Calibri" w:cs="Calibri"/>
          <w:color w:val="000000" w:themeColor="text1"/>
        </w:rPr>
      </w:pPr>
      <w:r w:rsidRPr="00EB0F0D">
        <w:rPr>
          <w:rFonts w:ascii="Calibri" w:eastAsia="Calibri" w:hAnsi="Calibri" w:cs="Calibri"/>
          <w:color w:val="000000" w:themeColor="text1"/>
        </w:rPr>
        <w:t xml:space="preserve">For </w:t>
      </w:r>
      <w:r w:rsidR="00721307" w:rsidRPr="00721307">
        <w:rPr>
          <w:rFonts w:ascii="Calibri" w:eastAsia="Calibri" w:hAnsi="Calibri" w:cs="Calibri"/>
          <w:color w:val="000000" w:themeColor="text1"/>
        </w:rPr>
        <w:t>example</w:t>
      </w:r>
      <w:r w:rsidR="001970BA">
        <w:rPr>
          <w:rFonts w:ascii="Calibri" w:eastAsia="Calibri" w:hAnsi="Calibri" w:cs="Calibri"/>
          <w:color w:val="000000" w:themeColor="text1"/>
        </w:rPr>
        <w:t xml:space="preserve">, </w:t>
      </w:r>
      <w:r w:rsidR="001970BA" w:rsidRPr="001970BA">
        <w:rPr>
          <w:rFonts w:ascii="Calibri" w:eastAsia="Calibri" w:hAnsi="Calibri" w:cs="Calibri"/>
          <w:color w:val="000000" w:themeColor="text1"/>
        </w:rPr>
        <w:t>the data below suggest that the average base modernization cost per light-duty vehicle mile traveled in 2024 is 0.0258451 dollars per vehicle mile in 2022 dollars. In addition, the average cost to build one freeway lane-mile in 2024 is 10,344 dollars per lane-mile in 2018 dollars. The same values were applied in 2045 because it was assumed that there would be no increase beyond inflation.</w:t>
      </w:r>
    </w:p>
    <w:p w14:paraId="35512A1C" w14:textId="6E8AD23B" w:rsidR="005C21DD" w:rsidRPr="00EB0F0D" w:rsidRDefault="000A30FD" w:rsidP="005C21DD">
      <w:pPr>
        <w:rPr>
          <w:rFonts w:ascii="Calibri" w:hAnsi="Calibri" w:cs="Calibri"/>
        </w:rPr>
      </w:pPr>
      <w:r>
        <w:rPr>
          <w:rFonts w:ascii="Calibri" w:hAnsi="Calibri" w:cs="Calibri"/>
          <w:noProof/>
        </w:rPr>
        <w:drawing>
          <wp:inline distT="0" distB="0" distL="0" distR="0" wp14:anchorId="78EA1192" wp14:editId="56EFE3C2">
            <wp:extent cx="6858000" cy="49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98475"/>
                    </a:xfrm>
                    <a:prstGeom prst="rect">
                      <a:avLst/>
                    </a:prstGeom>
                    <a:noFill/>
                    <a:ln>
                      <a:noFill/>
                    </a:ln>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3C6B1372" w14:textId="20EDDD54" w:rsidR="004E63D1" w:rsidRDefault="00FC5D43" w:rsidP="00D2482B">
      <w:pPr>
        <w:tabs>
          <w:tab w:val="num" w:pos="720"/>
        </w:tabs>
        <w:spacing w:line="240" w:lineRule="auto"/>
        <w:rPr>
          <w:rFonts w:ascii="Calibri" w:eastAsia="MS Mincho" w:hAnsi="Calibri" w:cs="Calibri"/>
          <w:noProof/>
        </w:rPr>
      </w:pPr>
      <w:r>
        <w:rPr>
          <w:rFonts w:ascii="Calibri" w:hAnsi="Calibri" w:cs="Calibri"/>
        </w:rPr>
        <w:tab/>
      </w:r>
      <w:r w:rsidRPr="00EB0F0D">
        <w:rPr>
          <w:rFonts w:ascii="Calibri" w:hAnsi="Calibri" w:cs="Calibri"/>
        </w:rPr>
        <w:t>The document Task 7.2 Simplified Scenario Development guide, available at </w:t>
      </w:r>
      <w:hyperlink r:id="rId9" w:tgtFrame="_blank" w:history="1">
        <w:r w:rsidRPr="00EB0F0D">
          <w:rPr>
            <w:rStyle w:val="Hyperlink"/>
            <w:rFonts w:ascii="Calibri" w:hAnsi="Calibri" w:cs="Calibri"/>
          </w:rPr>
          <w:t>A Playbook for Simplified Approaches for Creating Scenarios in VisionEval</w:t>
        </w:r>
      </w:hyperlink>
      <w:r>
        <w:t>, does not explicitly reference this file.</w:t>
      </w:r>
      <w:r w:rsidR="00E423CF">
        <w:t xml:space="preserve"> </w:t>
      </w:r>
      <w:r w:rsidR="005B0B17" w:rsidRPr="005B0B17">
        <w:t>However, if roadway costs are expected to increase beyond inflation due to factors such as labor, material, or regulatory costs, the values in this file could be adjusted accordingly. Such changes would likely affect congestion- and delay-related outputs.</w:t>
      </w:r>
    </w:p>
    <w:p w14:paraId="6050A63F" w14:textId="77777777" w:rsidR="00D2482B" w:rsidRPr="00D2482B" w:rsidRDefault="00D2482B" w:rsidP="00D2482B">
      <w:pPr>
        <w:tabs>
          <w:tab w:val="num" w:pos="720"/>
        </w:tabs>
        <w:spacing w:line="240" w:lineRule="auto"/>
        <w:rPr>
          <w:rFonts w:ascii="Calibri" w:eastAsia="MS Mincho" w:hAnsi="Calibri" w:cs="Calibri"/>
          <w:noProof/>
        </w:rPr>
      </w:pPr>
    </w:p>
    <w:p w14:paraId="03D3C081" w14:textId="73BE7A96" w:rsidR="002E71F7" w:rsidRDefault="002E71F7" w:rsidP="444B22A9">
      <w:pPr>
        <w:rPr>
          <w:rFonts w:ascii="Calibri" w:eastAsia="Calibri" w:hAnsi="Calibri" w:cs="Calibri"/>
          <w:color w:val="000000" w:themeColor="text1"/>
        </w:rPr>
      </w:pPr>
      <w:r w:rsidRPr="00EB0F0D">
        <w:rPr>
          <w:rFonts w:ascii="Calibri" w:eastAsia="Calibri" w:hAnsi="Calibri" w:cs="Calibri"/>
          <w:b/>
          <w:bCs/>
          <w:color w:val="000000" w:themeColor="text1"/>
        </w:rPr>
        <w:t>Method Used for Virginia</w:t>
      </w:r>
    </w:p>
    <w:p w14:paraId="4BC67099" w14:textId="34F85948" w:rsidR="002E71F7"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p>
    <w:p w14:paraId="4E139E70" w14:textId="1B459562" w:rsidR="005B0B17" w:rsidRDefault="00AE5516" w:rsidP="00AE5516">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To </w:t>
      </w:r>
      <w:r w:rsidR="00D2482B" w:rsidRPr="00D2482B">
        <w:rPr>
          <w:rFonts w:ascii="Calibri" w:eastAsia="Times New Roman" w:hAnsi="Calibri" w:cs="Calibri"/>
          <w:color w:val="000000"/>
        </w:rPr>
        <w:t xml:space="preserve">obtain RoadBaseModCost, RoadPresOpMaintCost, and RoadOtherCost, the 28th Annual Highway Report published by the Reason Foundation on March 13, 2025, was used. Although the latest report was released in 2025, the dataset reflects 2022 values. Since deflators are applied within the model, the 2022 data </w:t>
      </w:r>
      <w:r w:rsidR="00D2482B" w:rsidRPr="00D2482B">
        <w:rPr>
          <w:rFonts w:ascii="Calibri" w:eastAsia="Times New Roman" w:hAnsi="Calibri" w:cs="Calibri"/>
          <w:color w:val="000000"/>
        </w:rPr>
        <w:lastRenderedPageBreak/>
        <w:t>were used without modification.</w:t>
      </w:r>
      <w:r w:rsidR="00456429">
        <w:rPr>
          <w:noProof/>
          <w:lang w:eastAsia="ko-KR"/>
        </w:rPr>
        <w:drawing>
          <wp:inline distT="0" distB="0" distL="0" distR="0" wp14:anchorId="04204416" wp14:editId="64E0BACF">
            <wp:extent cx="5791200" cy="4567253"/>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3738" cy="4585027"/>
                    </a:xfrm>
                    <a:prstGeom prst="rect">
                      <a:avLst/>
                    </a:prstGeom>
                    <a:noFill/>
                    <a:ln>
                      <a:noFill/>
                    </a:ln>
                  </pic:spPr>
                </pic:pic>
              </a:graphicData>
            </a:graphic>
          </wp:inline>
        </w:drawing>
      </w:r>
    </w:p>
    <w:p w14:paraId="578968C3" w14:textId="77777777" w:rsidR="005B0B17" w:rsidRPr="00456429" w:rsidRDefault="005B0B17" w:rsidP="00456429">
      <w:pPr>
        <w:rPr>
          <w:rFonts w:ascii="Calibri" w:eastAsia="MS Mincho" w:hAnsi="Calibri" w:cs="Calibri"/>
          <w:color w:val="000000" w:themeColor="text1"/>
        </w:rPr>
      </w:pPr>
    </w:p>
    <w:p w14:paraId="5BC36148" w14:textId="34F8BC31" w:rsidR="00456429" w:rsidRPr="00456429" w:rsidRDefault="00456429" w:rsidP="00AE5516">
      <w:pPr>
        <w:ind w:firstLine="720"/>
        <w:rPr>
          <w:lang w:eastAsia="ko-KR"/>
        </w:rPr>
      </w:pPr>
      <w:r w:rsidRPr="00456429">
        <w:rPr>
          <w:lang w:eastAsia="ko-KR"/>
        </w:rPr>
        <w:t>Ea</w:t>
      </w:r>
      <w:r w:rsidR="00D2482B" w:rsidRPr="00D2482B">
        <w:rPr>
          <w:lang w:eastAsia="ko-KR"/>
        </w:rPr>
        <w:t>ch input variable in the CSV file was mapped to the corresponding data from the 28th Annual Highway Report published by the Reason Foundation.</w:t>
      </w:r>
    </w:p>
    <w:tbl>
      <w:tblPr>
        <w:tblW w:w="10651" w:type="dxa"/>
        <w:tblInd w:w="-5" w:type="dxa"/>
        <w:tblCellMar>
          <w:left w:w="99" w:type="dxa"/>
          <w:right w:w="99" w:type="dxa"/>
        </w:tblCellMar>
        <w:tblLook w:val="04A0" w:firstRow="1" w:lastRow="0" w:firstColumn="1" w:lastColumn="0" w:noHBand="0" w:noVBand="1"/>
      </w:tblPr>
      <w:tblGrid>
        <w:gridCol w:w="2814"/>
        <w:gridCol w:w="7837"/>
      </w:tblGrid>
      <w:tr w:rsidR="00456429" w:rsidRPr="0077766B" w14:paraId="03DB908A" w14:textId="77777777" w:rsidTr="00C77502">
        <w:trPr>
          <w:trHeight w:val="383"/>
        </w:trPr>
        <w:tc>
          <w:tcPr>
            <w:tcW w:w="2814"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177F54C"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Input Variable</w:t>
            </w:r>
            <w:r>
              <w:rPr>
                <w:rFonts w:ascii="Arial" w:eastAsia="Malgun Gothic" w:hAnsi="Arial" w:cs="Arial"/>
                <w:color w:val="000000"/>
                <w:sz w:val="20"/>
                <w:szCs w:val="20"/>
                <w:lang w:eastAsia="ko-KR"/>
              </w:rPr>
              <w:t xml:space="preserve"> ($/VMT)</w:t>
            </w:r>
          </w:p>
        </w:tc>
        <w:tc>
          <w:tcPr>
            <w:tcW w:w="7837" w:type="dxa"/>
            <w:tcBorders>
              <w:top w:val="single" w:sz="4" w:space="0" w:color="auto"/>
              <w:left w:val="nil"/>
              <w:bottom w:val="single" w:sz="4" w:space="0" w:color="auto"/>
              <w:right w:val="single" w:sz="4" w:space="0" w:color="auto"/>
            </w:tcBorders>
            <w:shd w:val="clear" w:color="000000" w:fill="F2F2F2"/>
            <w:vAlign w:val="center"/>
            <w:hideMark/>
          </w:tcPr>
          <w:p w14:paraId="220A6543"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28th Annual Highway Report</w:t>
            </w:r>
          </w:p>
        </w:tc>
      </w:tr>
      <w:tr w:rsidR="00456429" w:rsidRPr="0077766B" w14:paraId="4671A8ED" w14:textId="77777777" w:rsidTr="00C77502">
        <w:trPr>
          <w:trHeight w:val="581"/>
        </w:trPr>
        <w:tc>
          <w:tcPr>
            <w:tcW w:w="2814" w:type="dxa"/>
            <w:tcBorders>
              <w:top w:val="nil"/>
              <w:left w:val="single" w:sz="4" w:space="0" w:color="auto"/>
              <w:bottom w:val="single" w:sz="4" w:space="0" w:color="auto"/>
              <w:right w:val="single" w:sz="4" w:space="0" w:color="auto"/>
            </w:tcBorders>
            <w:vAlign w:val="center"/>
            <w:hideMark/>
          </w:tcPr>
          <w:p w14:paraId="19449F67"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RoadBaseModCost.2005</w:t>
            </w:r>
          </w:p>
        </w:tc>
        <w:tc>
          <w:tcPr>
            <w:tcW w:w="7837" w:type="dxa"/>
            <w:tcBorders>
              <w:top w:val="nil"/>
              <w:left w:val="nil"/>
              <w:bottom w:val="single" w:sz="4" w:space="0" w:color="auto"/>
              <w:right w:val="single" w:sz="4" w:space="0" w:color="auto"/>
            </w:tcBorders>
            <w:vAlign w:val="center"/>
            <w:hideMark/>
          </w:tcPr>
          <w:p w14:paraId="78A3FEC4"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$15,981</w:t>
            </w:r>
            <w:r>
              <w:rPr>
                <w:rFonts w:ascii="Arial" w:eastAsia="Malgun Gothic" w:hAnsi="Arial" w:cs="Arial"/>
                <w:color w:val="000000"/>
                <w:sz w:val="20"/>
                <w:szCs w:val="20"/>
                <w:lang w:eastAsia="ko-KR"/>
              </w:rPr>
              <w:t xml:space="preserve"> (</w:t>
            </w:r>
            <w:r w:rsidRPr="0077766B">
              <w:rPr>
                <w:rFonts w:ascii="Arial" w:eastAsia="Malgun Gothic" w:hAnsi="Arial" w:cs="Arial"/>
                <w:color w:val="000000"/>
                <w:sz w:val="20"/>
                <w:szCs w:val="20"/>
                <w:lang w:eastAsia="ko-KR"/>
              </w:rPr>
              <w:t>Disbursement Per Lane-Mile, Table 7: Capital &amp; Bridge Disbursement, 2022</w:t>
            </w:r>
            <w:r>
              <w:rPr>
                <w:rFonts w:ascii="Arial" w:eastAsia="Malgun Gothic" w:hAnsi="Arial" w:cs="Arial"/>
                <w:color w:val="000000"/>
                <w:sz w:val="20"/>
                <w:szCs w:val="20"/>
                <w:lang w:eastAsia="ko-KR"/>
              </w:rPr>
              <w:t>)</w:t>
            </w:r>
          </w:p>
        </w:tc>
      </w:tr>
      <w:tr w:rsidR="00456429" w:rsidRPr="0077766B" w14:paraId="2BE643F2" w14:textId="77777777" w:rsidTr="00C77502">
        <w:trPr>
          <w:trHeight w:val="383"/>
        </w:trPr>
        <w:tc>
          <w:tcPr>
            <w:tcW w:w="2814" w:type="dxa"/>
            <w:tcBorders>
              <w:top w:val="nil"/>
              <w:left w:val="single" w:sz="4" w:space="0" w:color="auto"/>
              <w:bottom w:val="single" w:sz="4" w:space="0" w:color="auto"/>
              <w:right w:val="single" w:sz="4" w:space="0" w:color="auto"/>
            </w:tcBorders>
            <w:vAlign w:val="center"/>
            <w:hideMark/>
          </w:tcPr>
          <w:p w14:paraId="116A7287"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RoadPresOpMaintCost.2005</w:t>
            </w:r>
          </w:p>
        </w:tc>
        <w:tc>
          <w:tcPr>
            <w:tcW w:w="7837" w:type="dxa"/>
            <w:tcBorders>
              <w:top w:val="nil"/>
              <w:left w:val="nil"/>
              <w:bottom w:val="single" w:sz="4" w:space="0" w:color="auto"/>
              <w:right w:val="single" w:sz="4" w:space="0" w:color="auto"/>
            </w:tcBorders>
            <w:vAlign w:val="center"/>
            <w:hideMark/>
          </w:tcPr>
          <w:p w14:paraId="3BB86422"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$18,505</w:t>
            </w:r>
            <w:r>
              <w:rPr>
                <w:rFonts w:ascii="Arial" w:eastAsia="Malgun Gothic" w:hAnsi="Arial" w:cs="Arial"/>
                <w:color w:val="000000"/>
                <w:sz w:val="20"/>
                <w:szCs w:val="20"/>
                <w:lang w:eastAsia="ko-KR"/>
              </w:rPr>
              <w:t xml:space="preserve"> (</w:t>
            </w:r>
            <w:r w:rsidRPr="0077766B">
              <w:rPr>
                <w:rFonts w:ascii="Arial" w:eastAsia="Malgun Gothic" w:hAnsi="Arial" w:cs="Arial"/>
                <w:color w:val="000000"/>
                <w:sz w:val="20"/>
                <w:szCs w:val="20"/>
                <w:lang w:eastAsia="ko-KR"/>
              </w:rPr>
              <w:t>Disbursement Per Lane-Mile, Table 8: Maintenance Disbursements, 2022</w:t>
            </w:r>
            <w:r>
              <w:rPr>
                <w:rFonts w:ascii="Arial" w:eastAsia="Malgun Gothic" w:hAnsi="Arial" w:cs="Arial"/>
                <w:color w:val="000000"/>
                <w:sz w:val="20"/>
                <w:szCs w:val="20"/>
                <w:lang w:eastAsia="ko-KR"/>
              </w:rPr>
              <w:t>)</w:t>
            </w:r>
          </w:p>
        </w:tc>
      </w:tr>
      <w:tr w:rsidR="00456429" w:rsidRPr="0077766B" w14:paraId="5BF47C79" w14:textId="77777777" w:rsidTr="00C77502">
        <w:trPr>
          <w:trHeight w:val="581"/>
        </w:trPr>
        <w:tc>
          <w:tcPr>
            <w:tcW w:w="2814" w:type="dxa"/>
            <w:tcBorders>
              <w:top w:val="nil"/>
              <w:left w:val="single" w:sz="4" w:space="0" w:color="auto"/>
              <w:bottom w:val="single" w:sz="4" w:space="0" w:color="auto"/>
              <w:right w:val="single" w:sz="4" w:space="0" w:color="auto"/>
            </w:tcBorders>
            <w:vAlign w:val="center"/>
            <w:hideMark/>
          </w:tcPr>
          <w:p w14:paraId="3BC95B5A"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RoadOtherCost.2005</w:t>
            </w:r>
          </w:p>
        </w:tc>
        <w:tc>
          <w:tcPr>
            <w:tcW w:w="7837" w:type="dxa"/>
            <w:tcBorders>
              <w:top w:val="nil"/>
              <w:left w:val="nil"/>
              <w:bottom w:val="single" w:sz="4" w:space="0" w:color="auto"/>
              <w:right w:val="single" w:sz="4" w:space="0" w:color="auto"/>
            </w:tcBorders>
            <w:vAlign w:val="center"/>
            <w:hideMark/>
          </w:tcPr>
          <w:p w14:paraId="36C26DA1" w14:textId="77777777" w:rsidR="00456429" w:rsidRPr="0077766B" w:rsidRDefault="00456429" w:rsidP="00C77502">
            <w:pPr>
              <w:spacing w:after="0" w:line="240" w:lineRule="auto"/>
              <w:jc w:val="center"/>
              <w:rPr>
                <w:rFonts w:ascii="Arial" w:eastAsia="Malgun Gothic" w:hAnsi="Arial" w:cs="Arial"/>
                <w:color w:val="000000"/>
                <w:sz w:val="20"/>
                <w:szCs w:val="20"/>
                <w:lang w:eastAsia="ko-KR"/>
              </w:rPr>
            </w:pPr>
            <w:r w:rsidRPr="0077766B">
              <w:rPr>
                <w:rFonts w:ascii="Arial" w:eastAsia="Malgun Gothic" w:hAnsi="Arial" w:cs="Arial"/>
                <w:color w:val="000000"/>
                <w:sz w:val="20"/>
                <w:szCs w:val="20"/>
                <w:lang w:eastAsia="ko-KR"/>
              </w:rPr>
              <w:t>$3,787</w:t>
            </w:r>
            <w:r>
              <w:rPr>
                <w:rFonts w:ascii="Arial" w:eastAsia="Malgun Gothic" w:hAnsi="Arial" w:cs="Arial"/>
                <w:color w:val="000000"/>
                <w:sz w:val="20"/>
                <w:szCs w:val="20"/>
                <w:lang w:eastAsia="ko-KR"/>
              </w:rPr>
              <w:t xml:space="preserve"> (</w:t>
            </w:r>
            <w:r w:rsidRPr="0077766B">
              <w:rPr>
                <w:rFonts w:ascii="Arial" w:eastAsia="Malgun Gothic" w:hAnsi="Arial" w:cs="Arial"/>
                <w:color w:val="000000"/>
                <w:sz w:val="20"/>
                <w:szCs w:val="20"/>
                <w:lang w:eastAsia="ko-KR"/>
              </w:rPr>
              <w:t>Disbursement Per Lane-Mile, Table 9: Administrative Disbursements, 2022</w:t>
            </w:r>
            <w:r>
              <w:rPr>
                <w:rFonts w:ascii="Arial" w:eastAsia="Malgun Gothic" w:hAnsi="Arial" w:cs="Arial"/>
                <w:color w:val="000000"/>
                <w:sz w:val="20"/>
                <w:szCs w:val="20"/>
                <w:lang w:eastAsia="ko-KR"/>
              </w:rPr>
              <w:t>)</w:t>
            </w:r>
            <w:r w:rsidRPr="0077766B">
              <w:rPr>
                <w:rFonts w:ascii="Arial" w:eastAsia="Malgun Gothic" w:hAnsi="Arial" w:cs="Arial"/>
                <w:color w:val="000000"/>
                <w:sz w:val="20"/>
                <w:szCs w:val="20"/>
                <w:lang w:eastAsia="ko-KR"/>
              </w:rPr>
              <w:br/>
              <w:t>$7,160</w:t>
            </w:r>
            <w:r>
              <w:rPr>
                <w:rFonts w:ascii="Arial" w:eastAsia="Malgun Gothic" w:hAnsi="Arial" w:cs="Arial"/>
                <w:color w:val="000000"/>
                <w:sz w:val="20"/>
                <w:szCs w:val="20"/>
                <w:lang w:eastAsia="ko-KR"/>
              </w:rPr>
              <w:t xml:space="preserve"> (</w:t>
            </w:r>
            <w:r w:rsidRPr="0077766B">
              <w:rPr>
                <w:rFonts w:ascii="Arial" w:eastAsia="Malgun Gothic" w:hAnsi="Arial" w:cs="Arial"/>
                <w:color w:val="000000"/>
                <w:sz w:val="20"/>
                <w:szCs w:val="20"/>
                <w:lang w:eastAsia="ko-KR"/>
              </w:rPr>
              <w:t>Disbursement Per Lane-Mile, Table 10: Other Disbursements, 2022</w:t>
            </w:r>
            <w:r>
              <w:rPr>
                <w:rFonts w:ascii="Arial" w:eastAsia="Malgun Gothic" w:hAnsi="Arial" w:cs="Arial"/>
                <w:color w:val="000000"/>
                <w:sz w:val="20"/>
                <w:szCs w:val="20"/>
                <w:lang w:eastAsia="ko-KR"/>
              </w:rPr>
              <w:t>)</w:t>
            </w:r>
          </w:p>
        </w:tc>
      </w:tr>
    </w:tbl>
    <w:p w14:paraId="2926CABC" w14:textId="77777777" w:rsidR="00456429" w:rsidRDefault="00456429" w:rsidP="00456429">
      <w:pPr>
        <w:ind w:firstLine="720"/>
        <w:rPr>
          <w:lang w:eastAsia="ko-KR"/>
        </w:rPr>
      </w:pPr>
    </w:p>
    <w:p w14:paraId="094C4727" w14:textId="02E4A76C" w:rsidR="00456429" w:rsidRPr="00456429" w:rsidRDefault="00375278" w:rsidP="00456429">
      <w:pPr>
        <w:ind w:firstLine="720"/>
        <w:rPr>
          <w:lang w:eastAsia="ko-KR"/>
        </w:rPr>
      </w:pPr>
      <w:r w:rsidRPr="00375278">
        <w:rPr>
          <w:lang w:eastAsia="ko-KR"/>
        </w:rPr>
        <w:t>To convert the values from dollars per lane-mile to dollars, Virginia’s total lane-miles (129,519), reported in “Table 6: State-Controlled Highway Mileage by System Width, 2022,” were used. Based on this figure, the previously calculated values were converted to dollars as shown below.</w:t>
      </w:r>
    </w:p>
    <w:tbl>
      <w:tblPr>
        <w:tblW w:w="10636" w:type="dxa"/>
        <w:tblInd w:w="-5" w:type="dxa"/>
        <w:tblCellMar>
          <w:left w:w="99" w:type="dxa"/>
          <w:right w:w="99" w:type="dxa"/>
        </w:tblCellMar>
        <w:tblLook w:val="04A0" w:firstRow="1" w:lastRow="0" w:firstColumn="1" w:lastColumn="0" w:noHBand="0" w:noVBand="1"/>
      </w:tblPr>
      <w:tblGrid>
        <w:gridCol w:w="5318"/>
        <w:gridCol w:w="5318"/>
      </w:tblGrid>
      <w:tr w:rsidR="00456429" w:rsidRPr="00C332E2" w14:paraId="7AC59E77" w14:textId="77777777" w:rsidTr="00C77502">
        <w:trPr>
          <w:trHeight w:val="289"/>
        </w:trPr>
        <w:tc>
          <w:tcPr>
            <w:tcW w:w="5318"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E524F13"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 xml:space="preserve">Dollars per </w:t>
            </w:r>
            <w:r w:rsidRPr="00C332E2">
              <w:rPr>
                <w:rFonts w:ascii="Arial" w:eastAsia="Malgun Gothic" w:hAnsi="Arial" w:cs="Arial"/>
                <w:color w:val="000000"/>
                <w:sz w:val="20"/>
                <w:szCs w:val="20"/>
                <w:lang w:eastAsia="ko-KR"/>
              </w:rPr>
              <w:t>Lane-miles</w:t>
            </w:r>
          </w:p>
        </w:tc>
        <w:tc>
          <w:tcPr>
            <w:tcW w:w="5318" w:type="dxa"/>
            <w:tcBorders>
              <w:top w:val="single" w:sz="4" w:space="0" w:color="auto"/>
              <w:left w:val="nil"/>
              <w:bottom w:val="single" w:sz="4" w:space="0" w:color="auto"/>
              <w:right w:val="single" w:sz="4" w:space="0" w:color="auto"/>
            </w:tcBorders>
            <w:shd w:val="clear" w:color="000000" w:fill="F2F2F2"/>
            <w:vAlign w:val="center"/>
            <w:hideMark/>
          </w:tcPr>
          <w:p w14:paraId="46B076AD"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Dollars</w:t>
            </w:r>
          </w:p>
        </w:tc>
      </w:tr>
      <w:tr w:rsidR="00456429" w:rsidRPr="00C332E2" w14:paraId="1007D215" w14:textId="77777777" w:rsidTr="00C77502">
        <w:trPr>
          <w:trHeight w:val="289"/>
        </w:trPr>
        <w:tc>
          <w:tcPr>
            <w:tcW w:w="5318" w:type="dxa"/>
            <w:tcBorders>
              <w:top w:val="nil"/>
              <w:left w:val="single" w:sz="4" w:space="0" w:color="auto"/>
              <w:bottom w:val="single" w:sz="4" w:space="0" w:color="auto"/>
              <w:right w:val="single" w:sz="4" w:space="0" w:color="auto"/>
            </w:tcBorders>
            <w:vAlign w:val="center"/>
            <w:hideMark/>
          </w:tcPr>
          <w:p w14:paraId="0A5D3059"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sidRPr="00C332E2">
              <w:rPr>
                <w:rFonts w:ascii="Arial" w:eastAsia="Malgun Gothic" w:hAnsi="Arial" w:cs="Arial"/>
                <w:color w:val="000000"/>
                <w:sz w:val="20"/>
                <w:szCs w:val="20"/>
                <w:lang w:eastAsia="ko-KR"/>
              </w:rPr>
              <w:t xml:space="preserve">$15,981 </w:t>
            </w:r>
          </w:p>
        </w:tc>
        <w:tc>
          <w:tcPr>
            <w:tcW w:w="5318" w:type="dxa"/>
            <w:tcBorders>
              <w:top w:val="nil"/>
              <w:left w:val="nil"/>
              <w:bottom w:val="single" w:sz="4" w:space="0" w:color="auto"/>
              <w:right w:val="single" w:sz="4" w:space="0" w:color="auto"/>
            </w:tcBorders>
            <w:vAlign w:val="center"/>
            <w:hideMark/>
          </w:tcPr>
          <w:p w14:paraId="34147636"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sidRPr="00C332E2">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2</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069</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843</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139</w:t>
            </w:r>
          </w:p>
        </w:tc>
      </w:tr>
      <w:tr w:rsidR="00456429" w:rsidRPr="00C332E2" w14:paraId="2D45A7FC" w14:textId="77777777" w:rsidTr="00C77502">
        <w:trPr>
          <w:trHeight w:val="289"/>
        </w:trPr>
        <w:tc>
          <w:tcPr>
            <w:tcW w:w="5318" w:type="dxa"/>
            <w:tcBorders>
              <w:top w:val="nil"/>
              <w:left w:val="single" w:sz="4" w:space="0" w:color="auto"/>
              <w:bottom w:val="single" w:sz="4" w:space="0" w:color="auto"/>
              <w:right w:val="single" w:sz="4" w:space="0" w:color="auto"/>
            </w:tcBorders>
            <w:vAlign w:val="center"/>
            <w:hideMark/>
          </w:tcPr>
          <w:p w14:paraId="171328A7"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sidRPr="00C332E2">
              <w:rPr>
                <w:rFonts w:ascii="Arial" w:eastAsia="Malgun Gothic" w:hAnsi="Arial" w:cs="Arial"/>
                <w:color w:val="000000"/>
                <w:sz w:val="20"/>
                <w:szCs w:val="20"/>
                <w:lang w:eastAsia="ko-KR"/>
              </w:rPr>
              <w:t xml:space="preserve">$18,505 </w:t>
            </w:r>
          </w:p>
        </w:tc>
        <w:tc>
          <w:tcPr>
            <w:tcW w:w="5318" w:type="dxa"/>
            <w:tcBorders>
              <w:top w:val="nil"/>
              <w:left w:val="nil"/>
              <w:bottom w:val="single" w:sz="4" w:space="0" w:color="auto"/>
              <w:right w:val="single" w:sz="4" w:space="0" w:color="auto"/>
            </w:tcBorders>
            <w:vAlign w:val="center"/>
            <w:hideMark/>
          </w:tcPr>
          <w:p w14:paraId="550B4AE9"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2</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396</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749</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095</w:t>
            </w:r>
          </w:p>
        </w:tc>
      </w:tr>
      <w:tr w:rsidR="00456429" w:rsidRPr="00C332E2" w14:paraId="6CC4A013" w14:textId="77777777" w:rsidTr="00C77502">
        <w:trPr>
          <w:trHeight w:val="289"/>
        </w:trPr>
        <w:tc>
          <w:tcPr>
            <w:tcW w:w="5318" w:type="dxa"/>
            <w:tcBorders>
              <w:top w:val="nil"/>
              <w:left w:val="single" w:sz="4" w:space="0" w:color="auto"/>
              <w:bottom w:val="single" w:sz="4" w:space="0" w:color="auto"/>
              <w:right w:val="single" w:sz="4" w:space="0" w:color="auto"/>
            </w:tcBorders>
            <w:vAlign w:val="center"/>
            <w:hideMark/>
          </w:tcPr>
          <w:p w14:paraId="644A3221"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sidRPr="00C332E2">
              <w:rPr>
                <w:rFonts w:ascii="Arial" w:eastAsia="Malgun Gothic" w:hAnsi="Arial" w:cs="Arial"/>
                <w:color w:val="000000"/>
                <w:sz w:val="20"/>
                <w:szCs w:val="20"/>
                <w:lang w:eastAsia="ko-KR"/>
              </w:rPr>
              <w:lastRenderedPageBreak/>
              <w:t xml:space="preserve">$10,947 </w:t>
            </w:r>
          </w:p>
        </w:tc>
        <w:tc>
          <w:tcPr>
            <w:tcW w:w="5318" w:type="dxa"/>
            <w:tcBorders>
              <w:top w:val="nil"/>
              <w:left w:val="nil"/>
              <w:bottom w:val="single" w:sz="4" w:space="0" w:color="auto"/>
              <w:right w:val="single" w:sz="4" w:space="0" w:color="auto"/>
            </w:tcBorders>
            <w:vAlign w:val="center"/>
            <w:hideMark/>
          </w:tcPr>
          <w:p w14:paraId="0D72160D" w14:textId="77777777" w:rsidR="00456429" w:rsidRPr="00C332E2"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1</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417</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844</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493</w:t>
            </w:r>
          </w:p>
        </w:tc>
      </w:tr>
    </w:tbl>
    <w:p w14:paraId="4769152D" w14:textId="0CCF5714" w:rsidR="00456429" w:rsidRPr="00456429" w:rsidRDefault="00456429" w:rsidP="00456429">
      <w:pPr>
        <w:ind w:firstLine="720"/>
        <w:rPr>
          <w:lang w:eastAsia="ko-KR"/>
        </w:rPr>
      </w:pPr>
    </w:p>
    <w:p w14:paraId="4989593D" w14:textId="08684751" w:rsidR="00456429" w:rsidRPr="00456429" w:rsidRDefault="00375278" w:rsidP="00AE5516">
      <w:pPr>
        <w:ind w:firstLine="720"/>
        <w:rPr>
          <w:lang w:eastAsia="ko-KR"/>
        </w:rPr>
      </w:pPr>
      <w:r w:rsidRPr="00375278">
        <w:rPr>
          <w:lang w:eastAsia="ko-KR"/>
        </w:rPr>
        <w:t>To estimate VMT, this analysis referenced the dataset titled “2022 Report 1226: VMT by Physical Jurisdiction by Federal Vehicle Class, Towns Rolled into Counties,” which was also used in preparing marea_dvmt_split_by_road_class.csv. According to the module documentation for BalanceRoadCostsAndRevenues, each cost input variable is defined as the cost per light-duty vehicle mile traveled (dollars per vehicle mile). Therefore, only the DVMT associated with Passenger Cars and Two-Axle, Four-Tire Single-Unit Vehicles was included in the calculation. The combined daily DVMT for these two vehicle classes is 219,414,784. On an annual basis, this equates to 80,086,396,224 vehicle miles traveled per year. The intermediate calculation result is shown below:</w:t>
      </w:r>
    </w:p>
    <w:tbl>
      <w:tblPr>
        <w:tblW w:w="8887" w:type="dxa"/>
        <w:jc w:val="center"/>
        <w:tblCellMar>
          <w:left w:w="99" w:type="dxa"/>
          <w:right w:w="99" w:type="dxa"/>
        </w:tblCellMar>
        <w:tblLook w:val="04A0" w:firstRow="1" w:lastRow="0" w:firstColumn="1" w:lastColumn="0" w:noHBand="0" w:noVBand="1"/>
      </w:tblPr>
      <w:tblGrid>
        <w:gridCol w:w="2972"/>
        <w:gridCol w:w="2552"/>
        <w:gridCol w:w="3363"/>
      </w:tblGrid>
      <w:tr w:rsidR="00456429" w:rsidRPr="000F6649" w14:paraId="69B243ED" w14:textId="77777777" w:rsidTr="00C77502">
        <w:trPr>
          <w:trHeight w:val="324"/>
          <w:jc w:val="center"/>
        </w:trPr>
        <w:tc>
          <w:tcPr>
            <w:tcW w:w="2972"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5315672"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0F6649">
              <w:rPr>
                <w:rFonts w:ascii="Arial" w:eastAsia="Malgun Gothic" w:hAnsi="Arial" w:cs="Arial"/>
                <w:color w:val="000000"/>
                <w:sz w:val="20"/>
                <w:szCs w:val="20"/>
                <w:lang w:eastAsia="ko-KR"/>
              </w:rPr>
              <w:t>Input Variable</w:t>
            </w:r>
          </w:p>
        </w:tc>
        <w:tc>
          <w:tcPr>
            <w:tcW w:w="2552" w:type="dxa"/>
            <w:tcBorders>
              <w:top w:val="single" w:sz="4" w:space="0" w:color="auto"/>
              <w:left w:val="nil"/>
              <w:bottom w:val="single" w:sz="4" w:space="0" w:color="auto"/>
              <w:right w:val="single" w:sz="4" w:space="0" w:color="auto"/>
            </w:tcBorders>
            <w:shd w:val="clear" w:color="000000" w:fill="F2F2F2"/>
            <w:vAlign w:val="center"/>
            <w:hideMark/>
          </w:tcPr>
          <w:p w14:paraId="40CE32B9"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Dollars</w:t>
            </w:r>
          </w:p>
        </w:tc>
        <w:tc>
          <w:tcPr>
            <w:tcW w:w="3363" w:type="dxa"/>
            <w:tcBorders>
              <w:top w:val="single" w:sz="4" w:space="0" w:color="auto"/>
              <w:left w:val="nil"/>
              <w:bottom w:val="single" w:sz="4" w:space="0" w:color="auto"/>
              <w:right w:val="single" w:sz="4" w:space="0" w:color="auto"/>
            </w:tcBorders>
            <w:shd w:val="clear" w:color="000000" w:fill="F2F2F2"/>
            <w:vAlign w:val="center"/>
            <w:hideMark/>
          </w:tcPr>
          <w:p w14:paraId="417CBED8"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Dollars per VMT</w:t>
            </w:r>
          </w:p>
        </w:tc>
      </w:tr>
      <w:tr w:rsidR="00456429" w:rsidRPr="000F6649" w14:paraId="6C6A0EDE" w14:textId="77777777" w:rsidTr="00C77502">
        <w:trPr>
          <w:trHeight w:val="324"/>
          <w:jc w:val="center"/>
        </w:trPr>
        <w:tc>
          <w:tcPr>
            <w:tcW w:w="2972" w:type="dxa"/>
            <w:tcBorders>
              <w:top w:val="nil"/>
              <w:left w:val="single" w:sz="4" w:space="0" w:color="auto"/>
              <w:bottom w:val="single" w:sz="4" w:space="0" w:color="auto"/>
              <w:right w:val="single" w:sz="4" w:space="0" w:color="auto"/>
            </w:tcBorders>
            <w:vAlign w:val="center"/>
            <w:hideMark/>
          </w:tcPr>
          <w:p w14:paraId="76E4C4AB"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0F6649">
              <w:rPr>
                <w:rFonts w:ascii="Arial" w:eastAsia="Malgun Gothic" w:hAnsi="Arial" w:cs="Arial"/>
                <w:color w:val="000000"/>
                <w:sz w:val="20"/>
                <w:szCs w:val="20"/>
                <w:lang w:eastAsia="ko-KR"/>
              </w:rPr>
              <w:t>RoadBaseModCost</w:t>
            </w:r>
          </w:p>
        </w:tc>
        <w:tc>
          <w:tcPr>
            <w:tcW w:w="2552" w:type="dxa"/>
            <w:tcBorders>
              <w:top w:val="nil"/>
              <w:left w:val="nil"/>
              <w:bottom w:val="single" w:sz="4" w:space="0" w:color="auto"/>
              <w:right w:val="single" w:sz="4" w:space="0" w:color="auto"/>
            </w:tcBorders>
            <w:vAlign w:val="center"/>
            <w:hideMark/>
          </w:tcPr>
          <w:p w14:paraId="4159D1B3"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C332E2">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2</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069</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843</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139</w:t>
            </w:r>
          </w:p>
        </w:tc>
        <w:tc>
          <w:tcPr>
            <w:tcW w:w="3363" w:type="dxa"/>
            <w:tcBorders>
              <w:top w:val="nil"/>
              <w:left w:val="nil"/>
              <w:bottom w:val="single" w:sz="4" w:space="0" w:color="auto"/>
              <w:right w:val="single" w:sz="4" w:space="0" w:color="auto"/>
            </w:tcBorders>
            <w:vAlign w:val="center"/>
          </w:tcPr>
          <w:p w14:paraId="2DCEAA5A"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7B5AE8">
              <w:rPr>
                <w:rFonts w:ascii="Arial" w:eastAsia="Malgun Gothic" w:hAnsi="Arial" w:cs="Arial"/>
                <w:color w:val="000000"/>
                <w:sz w:val="20"/>
                <w:szCs w:val="20"/>
                <w:lang w:eastAsia="ko-KR"/>
              </w:rPr>
              <w:t xml:space="preserve">$0.0258451 </w:t>
            </w:r>
          </w:p>
        </w:tc>
      </w:tr>
      <w:tr w:rsidR="00456429" w:rsidRPr="000F6649" w14:paraId="17AB58D7" w14:textId="77777777" w:rsidTr="00C77502">
        <w:trPr>
          <w:trHeight w:val="324"/>
          <w:jc w:val="center"/>
        </w:trPr>
        <w:tc>
          <w:tcPr>
            <w:tcW w:w="2972" w:type="dxa"/>
            <w:tcBorders>
              <w:top w:val="nil"/>
              <w:left w:val="single" w:sz="4" w:space="0" w:color="auto"/>
              <w:bottom w:val="single" w:sz="4" w:space="0" w:color="auto"/>
              <w:right w:val="single" w:sz="4" w:space="0" w:color="auto"/>
            </w:tcBorders>
            <w:vAlign w:val="center"/>
            <w:hideMark/>
          </w:tcPr>
          <w:p w14:paraId="3BC94220"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0F6649">
              <w:rPr>
                <w:rFonts w:ascii="Arial" w:eastAsia="Malgun Gothic" w:hAnsi="Arial" w:cs="Arial"/>
                <w:color w:val="000000"/>
                <w:sz w:val="20"/>
                <w:szCs w:val="20"/>
                <w:lang w:eastAsia="ko-KR"/>
              </w:rPr>
              <w:t>RoadPresOpMaintCost</w:t>
            </w:r>
          </w:p>
        </w:tc>
        <w:tc>
          <w:tcPr>
            <w:tcW w:w="2552" w:type="dxa"/>
            <w:tcBorders>
              <w:top w:val="nil"/>
              <w:left w:val="nil"/>
              <w:bottom w:val="single" w:sz="4" w:space="0" w:color="auto"/>
              <w:right w:val="single" w:sz="4" w:space="0" w:color="auto"/>
            </w:tcBorders>
            <w:vAlign w:val="center"/>
            <w:hideMark/>
          </w:tcPr>
          <w:p w14:paraId="32FA999F"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2</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396</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749</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095</w:t>
            </w:r>
          </w:p>
        </w:tc>
        <w:tc>
          <w:tcPr>
            <w:tcW w:w="3363" w:type="dxa"/>
            <w:tcBorders>
              <w:top w:val="nil"/>
              <w:left w:val="nil"/>
              <w:bottom w:val="single" w:sz="4" w:space="0" w:color="auto"/>
              <w:right w:val="single" w:sz="4" w:space="0" w:color="auto"/>
            </w:tcBorders>
            <w:vAlign w:val="center"/>
          </w:tcPr>
          <w:p w14:paraId="52E433FD"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7B5AE8">
              <w:rPr>
                <w:rFonts w:ascii="Arial" w:eastAsia="Malgun Gothic" w:hAnsi="Arial" w:cs="Arial"/>
                <w:color w:val="000000"/>
                <w:sz w:val="20"/>
                <w:szCs w:val="20"/>
                <w:lang w:eastAsia="ko-KR"/>
              </w:rPr>
              <w:t xml:space="preserve">$0.0299270 </w:t>
            </w:r>
          </w:p>
        </w:tc>
      </w:tr>
      <w:tr w:rsidR="00456429" w:rsidRPr="000F6649" w14:paraId="745DBED1" w14:textId="77777777" w:rsidTr="00C77502">
        <w:trPr>
          <w:trHeight w:val="393"/>
          <w:jc w:val="center"/>
        </w:trPr>
        <w:tc>
          <w:tcPr>
            <w:tcW w:w="2972" w:type="dxa"/>
            <w:tcBorders>
              <w:top w:val="nil"/>
              <w:left w:val="single" w:sz="4" w:space="0" w:color="auto"/>
              <w:bottom w:val="single" w:sz="4" w:space="0" w:color="auto"/>
              <w:right w:val="single" w:sz="4" w:space="0" w:color="auto"/>
            </w:tcBorders>
            <w:vAlign w:val="center"/>
            <w:hideMark/>
          </w:tcPr>
          <w:p w14:paraId="237BE11C"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0F6649">
              <w:rPr>
                <w:rFonts w:ascii="Arial" w:eastAsia="Malgun Gothic" w:hAnsi="Arial" w:cs="Arial"/>
                <w:color w:val="000000"/>
                <w:sz w:val="20"/>
                <w:szCs w:val="20"/>
                <w:lang w:eastAsia="ko-KR"/>
              </w:rPr>
              <w:t>RoadOtherCost</w:t>
            </w:r>
          </w:p>
        </w:tc>
        <w:tc>
          <w:tcPr>
            <w:tcW w:w="2552" w:type="dxa"/>
            <w:tcBorders>
              <w:top w:val="nil"/>
              <w:left w:val="nil"/>
              <w:bottom w:val="single" w:sz="4" w:space="0" w:color="auto"/>
              <w:right w:val="single" w:sz="4" w:space="0" w:color="auto"/>
            </w:tcBorders>
            <w:vAlign w:val="center"/>
            <w:hideMark/>
          </w:tcPr>
          <w:p w14:paraId="6277C111"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1</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417</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844</w:t>
            </w:r>
            <w:r>
              <w:rPr>
                <w:rFonts w:ascii="Arial" w:eastAsia="Malgun Gothic" w:hAnsi="Arial" w:cs="Arial"/>
                <w:color w:val="000000"/>
                <w:sz w:val="20"/>
                <w:szCs w:val="20"/>
                <w:lang w:eastAsia="ko-KR"/>
              </w:rPr>
              <w:t>,</w:t>
            </w:r>
            <w:r w:rsidRPr="007E4F2F">
              <w:rPr>
                <w:rFonts w:ascii="Arial" w:eastAsia="Malgun Gothic" w:hAnsi="Arial" w:cs="Arial"/>
                <w:color w:val="000000"/>
                <w:sz w:val="20"/>
                <w:szCs w:val="20"/>
                <w:lang w:eastAsia="ko-KR"/>
              </w:rPr>
              <w:t>493</w:t>
            </w:r>
          </w:p>
        </w:tc>
        <w:tc>
          <w:tcPr>
            <w:tcW w:w="3363" w:type="dxa"/>
            <w:tcBorders>
              <w:top w:val="nil"/>
              <w:left w:val="nil"/>
              <w:bottom w:val="single" w:sz="4" w:space="0" w:color="auto"/>
              <w:right w:val="single" w:sz="4" w:space="0" w:color="auto"/>
            </w:tcBorders>
            <w:vAlign w:val="center"/>
          </w:tcPr>
          <w:p w14:paraId="27369779" w14:textId="77777777" w:rsidR="00456429" w:rsidRPr="000F6649" w:rsidRDefault="00456429" w:rsidP="00C77502">
            <w:pPr>
              <w:spacing w:after="0" w:line="240" w:lineRule="auto"/>
              <w:jc w:val="center"/>
              <w:rPr>
                <w:rFonts w:ascii="Arial" w:eastAsia="Malgun Gothic" w:hAnsi="Arial" w:cs="Arial"/>
                <w:color w:val="000000"/>
                <w:sz w:val="20"/>
                <w:szCs w:val="20"/>
                <w:lang w:eastAsia="ko-KR"/>
              </w:rPr>
            </w:pPr>
            <w:r w:rsidRPr="007B5AE8">
              <w:rPr>
                <w:rFonts w:ascii="Arial" w:eastAsia="Malgun Gothic" w:hAnsi="Arial" w:cs="Arial"/>
                <w:color w:val="000000"/>
                <w:sz w:val="20"/>
                <w:szCs w:val="20"/>
                <w:lang w:eastAsia="ko-KR"/>
              </w:rPr>
              <w:t>$0.0177039</w:t>
            </w:r>
          </w:p>
        </w:tc>
      </w:tr>
    </w:tbl>
    <w:p w14:paraId="46CE808E" w14:textId="4C2BDB50" w:rsidR="00AE5516" w:rsidRPr="00456429" w:rsidRDefault="00AE5516" w:rsidP="00AE5516">
      <w:pPr>
        <w:ind w:firstLine="720"/>
        <w:rPr>
          <w:lang w:eastAsia="ko-KR"/>
        </w:rPr>
      </w:pPr>
    </w:p>
    <w:p w14:paraId="5DD02D8B" w14:textId="58E75821" w:rsidR="00456429" w:rsidRDefault="00375278" w:rsidP="00EB0F0D">
      <w:pPr>
        <w:ind w:firstLine="720"/>
        <w:rPr>
          <w:rFonts w:ascii="Calibri" w:eastAsia="Times New Roman" w:hAnsi="Calibri" w:cs="Calibri"/>
          <w:color w:val="000000"/>
        </w:rPr>
      </w:pPr>
      <w:r w:rsidRPr="00375278">
        <w:rPr>
          <w:rFonts w:ascii="Calibri" w:eastAsia="Times New Roman" w:hAnsi="Calibri" w:cs="Calibri"/>
          <w:color w:val="000000"/>
        </w:rPr>
        <w:t>To obtain FwyLnMiCost.2005.1e3 and ArtLnMiCost.2005.1e3, the FHWA report titled Status of the Nation’s Highways, Bridges, and Transit: Conditions and Performance (25th edition, published in 2024) was used. Although the report was published in 2024, the data reflect 2018 values.</w:t>
      </w:r>
      <w:r w:rsidR="00456429">
        <w:rPr>
          <w:noProof/>
          <w:lang w:eastAsia="ko-KR"/>
        </w:rPr>
        <w:drawing>
          <wp:inline distT="0" distB="0" distL="0" distR="0" wp14:anchorId="469B803A" wp14:editId="5693024B">
            <wp:extent cx="6042278" cy="44265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6854" cy="4656984"/>
                    </a:xfrm>
                    <a:prstGeom prst="rect">
                      <a:avLst/>
                    </a:prstGeom>
                    <a:noFill/>
                    <a:ln>
                      <a:noFill/>
                    </a:ln>
                  </pic:spPr>
                </pic:pic>
              </a:graphicData>
            </a:graphic>
          </wp:inline>
        </w:drawing>
      </w:r>
    </w:p>
    <w:p w14:paraId="2CAF8D22" w14:textId="594D77FF" w:rsidR="001F472A" w:rsidRDefault="00375278" w:rsidP="001F472A">
      <w:pPr>
        <w:ind w:firstLine="720"/>
        <w:rPr>
          <w:lang w:eastAsia="ko-KR"/>
        </w:rPr>
      </w:pPr>
      <w:r w:rsidRPr="00375278">
        <w:rPr>
          <w:lang w:eastAsia="ko-KR"/>
        </w:rPr>
        <w:lastRenderedPageBreak/>
        <w:t>The “New Alignment (Normal Cost)” values from Exhibit A-8 were used, considering the macro-level nature of the VisionEval model. However, the accuracy of the analysis could be improved by applying location-specific cost values that better reflect the characteristics of the study area.</w:t>
      </w:r>
    </w:p>
    <w:tbl>
      <w:tblPr>
        <w:tblW w:w="10686" w:type="dxa"/>
        <w:tblCellMar>
          <w:left w:w="99" w:type="dxa"/>
          <w:right w:w="99" w:type="dxa"/>
        </w:tblCellMar>
        <w:tblLook w:val="04A0" w:firstRow="1" w:lastRow="0" w:firstColumn="1" w:lastColumn="0" w:noHBand="0" w:noVBand="1"/>
      </w:tblPr>
      <w:tblGrid>
        <w:gridCol w:w="3775"/>
        <w:gridCol w:w="2080"/>
        <w:gridCol w:w="4831"/>
      </w:tblGrid>
      <w:tr w:rsidR="001F472A" w:rsidRPr="009E7991" w14:paraId="0C393BF3" w14:textId="77777777" w:rsidTr="00C77502">
        <w:trPr>
          <w:trHeight w:val="253"/>
        </w:trPr>
        <w:tc>
          <w:tcPr>
            <w:tcW w:w="3775"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5C6256B"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Roda type</w:t>
            </w:r>
          </w:p>
        </w:tc>
        <w:tc>
          <w:tcPr>
            <w:tcW w:w="2080"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D96726D"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Terrain Type</w:t>
            </w:r>
          </w:p>
        </w:tc>
        <w:tc>
          <w:tcPr>
            <w:tcW w:w="4831" w:type="dxa"/>
            <w:tcBorders>
              <w:top w:val="single" w:sz="4" w:space="0" w:color="auto"/>
              <w:left w:val="nil"/>
              <w:bottom w:val="single" w:sz="4" w:space="0" w:color="auto"/>
              <w:right w:val="single" w:sz="4" w:space="0" w:color="auto"/>
            </w:tcBorders>
            <w:shd w:val="clear" w:color="000000" w:fill="F2F2F2"/>
            <w:noWrap/>
            <w:vAlign w:val="center"/>
            <w:hideMark/>
          </w:tcPr>
          <w:p w14:paraId="0FB0C9C5"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New Construction</w:t>
            </w:r>
          </w:p>
        </w:tc>
      </w:tr>
      <w:tr w:rsidR="001F472A" w:rsidRPr="009E7991" w14:paraId="384ED459" w14:textId="77777777" w:rsidTr="00C77502">
        <w:trPr>
          <w:trHeight w:val="253"/>
        </w:trPr>
        <w:tc>
          <w:tcPr>
            <w:tcW w:w="3775" w:type="dxa"/>
            <w:vMerge/>
            <w:tcBorders>
              <w:top w:val="single" w:sz="4" w:space="0" w:color="auto"/>
              <w:left w:val="single" w:sz="4" w:space="0" w:color="auto"/>
              <w:bottom w:val="single" w:sz="4" w:space="0" w:color="auto"/>
              <w:right w:val="single" w:sz="4" w:space="0" w:color="auto"/>
            </w:tcBorders>
            <w:vAlign w:val="center"/>
            <w:hideMark/>
          </w:tcPr>
          <w:p w14:paraId="0ABD814B"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vMerge/>
            <w:tcBorders>
              <w:top w:val="single" w:sz="4" w:space="0" w:color="auto"/>
              <w:left w:val="single" w:sz="4" w:space="0" w:color="auto"/>
              <w:bottom w:val="single" w:sz="4" w:space="0" w:color="auto"/>
              <w:right w:val="single" w:sz="4" w:space="0" w:color="auto"/>
            </w:tcBorders>
            <w:vAlign w:val="center"/>
            <w:hideMark/>
          </w:tcPr>
          <w:p w14:paraId="2315CD93"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4831" w:type="dxa"/>
            <w:tcBorders>
              <w:top w:val="nil"/>
              <w:left w:val="nil"/>
              <w:bottom w:val="single" w:sz="4" w:space="0" w:color="auto"/>
              <w:right w:val="single" w:sz="4" w:space="0" w:color="auto"/>
            </w:tcBorders>
            <w:shd w:val="clear" w:color="000000" w:fill="F2F2F2"/>
            <w:noWrap/>
            <w:vAlign w:val="center"/>
            <w:hideMark/>
          </w:tcPr>
          <w:p w14:paraId="167C4424"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New Alignment (Normal Cost)</w:t>
            </w:r>
          </w:p>
        </w:tc>
      </w:tr>
      <w:tr w:rsidR="001F472A" w:rsidRPr="009E7991" w14:paraId="270DEF01" w14:textId="77777777" w:rsidTr="00C77502">
        <w:trPr>
          <w:trHeight w:val="253"/>
        </w:trPr>
        <w:tc>
          <w:tcPr>
            <w:tcW w:w="3775" w:type="dxa"/>
            <w:vMerge w:val="restart"/>
            <w:tcBorders>
              <w:top w:val="nil"/>
              <w:left w:val="single" w:sz="4" w:space="0" w:color="auto"/>
              <w:bottom w:val="single" w:sz="4" w:space="0" w:color="000000"/>
              <w:right w:val="single" w:sz="4" w:space="0" w:color="auto"/>
            </w:tcBorders>
            <w:noWrap/>
            <w:vAlign w:val="center"/>
            <w:hideMark/>
          </w:tcPr>
          <w:p w14:paraId="433527CF"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Interstate</w:t>
            </w:r>
          </w:p>
        </w:tc>
        <w:tc>
          <w:tcPr>
            <w:tcW w:w="2080" w:type="dxa"/>
            <w:tcBorders>
              <w:top w:val="nil"/>
              <w:left w:val="nil"/>
              <w:bottom w:val="single" w:sz="4" w:space="0" w:color="auto"/>
              <w:right w:val="single" w:sz="4" w:space="0" w:color="auto"/>
            </w:tcBorders>
            <w:noWrap/>
            <w:vAlign w:val="center"/>
            <w:hideMark/>
          </w:tcPr>
          <w:p w14:paraId="694502FE" w14:textId="3EBE80FB"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 xml:space="preserve">Small </w:t>
            </w:r>
            <w:r w:rsidR="001F472A" w:rsidRPr="009E7991">
              <w:rPr>
                <w:rFonts w:ascii="Arial" w:eastAsia="Malgun Gothic" w:hAnsi="Arial" w:cs="Arial" w:hint="eastAsia"/>
                <w:color w:val="000000"/>
                <w:sz w:val="20"/>
                <w:szCs w:val="20"/>
                <w:lang w:eastAsia="ko-KR"/>
              </w:rPr>
              <w:t>Urban</w:t>
            </w:r>
          </w:p>
        </w:tc>
        <w:tc>
          <w:tcPr>
            <w:tcW w:w="4831" w:type="dxa"/>
            <w:tcBorders>
              <w:top w:val="nil"/>
              <w:left w:val="nil"/>
              <w:bottom w:val="single" w:sz="4" w:space="0" w:color="auto"/>
              <w:right w:val="single" w:sz="4" w:space="0" w:color="auto"/>
            </w:tcBorders>
            <w:noWrap/>
            <w:vAlign w:val="center"/>
            <w:hideMark/>
          </w:tcPr>
          <w:p w14:paraId="1790BF77"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7,540.00</w:t>
            </w:r>
          </w:p>
        </w:tc>
      </w:tr>
      <w:tr w:rsidR="001F472A" w:rsidRPr="009E7991" w14:paraId="094C94B5"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5C96CABC"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1FEC722E" w14:textId="659E4009"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001F472A" w:rsidRPr="009E7991">
              <w:rPr>
                <w:rFonts w:ascii="Arial" w:eastAsia="Malgun Gothic" w:hAnsi="Arial" w:cs="Arial" w:hint="eastAsia"/>
                <w:color w:val="000000"/>
                <w:sz w:val="20"/>
                <w:szCs w:val="20"/>
                <w:lang w:eastAsia="ko-KR"/>
              </w:rPr>
              <w:t xml:space="preserve"> Urbanized</w:t>
            </w:r>
          </w:p>
        </w:tc>
        <w:tc>
          <w:tcPr>
            <w:tcW w:w="4831" w:type="dxa"/>
            <w:tcBorders>
              <w:top w:val="nil"/>
              <w:left w:val="nil"/>
              <w:bottom w:val="single" w:sz="4" w:space="0" w:color="auto"/>
              <w:right w:val="single" w:sz="4" w:space="0" w:color="auto"/>
            </w:tcBorders>
            <w:noWrap/>
            <w:vAlign w:val="center"/>
            <w:hideMark/>
          </w:tcPr>
          <w:p w14:paraId="4CE5070E"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9,410.00</w:t>
            </w:r>
          </w:p>
        </w:tc>
      </w:tr>
      <w:tr w:rsidR="001F472A" w:rsidRPr="009E7991" w14:paraId="4991385C"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59F19774"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244C23B8"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Large Urbanized</w:t>
            </w:r>
          </w:p>
        </w:tc>
        <w:tc>
          <w:tcPr>
            <w:tcW w:w="4831" w:type="dxa"/>
            <w:tcBorders>
              <w:top w:val="nil"/>
              <w:left w:val="nil"/>
              <w:bottom w:val="single" w:sz="4" w:space="0" w:color="auto"/>
              <w:right w:val="single" w:sz="4" w:space="0" w:color="auto"/>
            </w:tcBorders>
            <w:noWrap/>
            <w:vAlign w:val="center"/>
            <w:hideMark/>
          </w:tcPr>
          <w:p w14:paraId="180316DF"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11,278.00</w:t>
            </w:r>
          </w:p>
        </w:tc>
      </w:tr>
      <w:tr w:rsidR="001F472A" w:rsidRPr="009E7991" w14:paraId="3A1BD104"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632C08F9"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2B611359"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Major Urbanized</w:t>
            </w:r>
          </w:p>
        </w:tc>
        <w:tc>
          <w:tcPr>
            <w:tcW w:w="4831" w:type="dxa"/>
            <w:tcBorders>
              <w:top w:val="nil"/>
              <w:left w:val="nil"/>
              <w:bottom w:val="single" w:sz="4" w:space="0" w:color="auto"/>
              <w:right w:val="single" w:sz="4" w:space="0" w:color="auto"/>
            </w:tcBorders>
            <w:noWrap/>
            <w:vAlign w:val="center"/>
            <w:hideMark/>
          </w:tcPr>
          <w:p w14:paraId="462FFD78"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14,271.00</w:t>
            </w:r>
          </w:p>
        </w:tc>
      </w:tr>
      <w:tr w:rsidR="001F472A" w:rsidRPr="009E7991" w14:paraId="13CA13D5" w14:textId="77777777" w:rsidTr="00C77502">
        <w:trPr>
          <w:trHeight w:val="253"/>
        </w:trPr>
        <w:tc>
          <w:tcPr>
            <w:tcW w:w="3775" w:type="dxa"/>
            <w:vMerge w:val="restart"/>
            <w:tcBorders>
              <w:top w:val="nil"/>
              <w:left w:val="single" w:sz="4" w:space="0" w:color="auto"/>
              <w:bottom w:val="single" w:sz="4" w:space="0" w:color="000000"/>
              <w:right w:val="single" w:sz="4" w:space="0" w:color="auto"/>
            </w:tcBorders>
            <w:noWrap/>
            <w:vAlign w:val="center"/>
            <w:hideMark/>
          </w:tcPr>
          <w:p w14:paraId="582E59EC"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Other Freeway and Expressway</w:t>
            </w:r>
          </w:p>
        </w:tc>
        <w:tc>
          <w:tcPr>
            <w:tcW w:w="2080" w:type="dxa"/>
            <w:tcBorders>
              <w:top w:val="nil"/>
              <w:left w:val="nil"/>
              <w:bottom w:val="single" w:sz="4" w:space="0" w:color="auto"/>
              <w:right w:val="single" w:sz="4" w:space="0" w:color="auto"/>
            </w:tcBorders>
            <w:noWrap/>
            <w:vAlign w:val="center"/>
            <w:hideMark/>
          </w:tcPr>
          <w:p w14:paraId="053C99EA" w14:textId="20BC0B20"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001F472A" w:rsidRPr="009E7991">
              <w:rPr>
                <w:rFonts w:ascii="Arial" w:eastAsia="Malgun Gothic" w:hAnsi="Arial" w:cs="Arial" w:hint="eastAsia"/>
                <w:color w:val="000000"/>
                <w:sz w:val="20"/>
                <w:szCs w:val="20"/>
                <w:lang w:eastAsia="ko-KR"/>
              </w:rPr>
              <w:t xml:space="preserve"> Urban</w:t>
            </w:r>
          </w:p>
        </w:tc>
        <w:tc>
          <w:tcPr>
            <w:tcW w:w="4831" w:type="dxa"/>
            <w:tcBorders>
              <w:top w:val="nil"/>
              <w:left w:val="nil"/>
              <w:bottom w:val="single" w:sz="4" w:space="0" w:color="auto"/>
              <w:right w:val="single" w:sz="4" w:space="0" w:color="auto"/>
            </w:tcBorders>
            <w:noWrap/>
            <w:vAlign w:val="center"/>
            <w:hideMark/>
          </w:tcPr>
          <w:p w14:paraId="00E95E0F"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7,083.00</w:t>
            </w:r>
          </w:p>
        </w:tc>
      </w:tr>
      <w:tr w:rsidR="001F472A" w:rsidRPr="009E7991" w14:paraId="40FABC40"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4A679691"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030802E5" w14:textId="28A53B4F"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001F472A" w:rsidRPr="009E7991">
              <w:rPr>
                <w:rFonts w:ascii="Arial" w:eastAsia="Malgun Gothic" w:hAnsi="Arial" w:cs="Arial" w:hint="eastAsia"/>
                <w:color w:val="000000"/>
                <w:sz w:val="20"/>
                <w:szCs w:val="20"/>
                <w:lang w:eastAsia="ko-KR"/>
              </w:rPr>
              <w:t xml:space="preserve"> Urbanized</w:t>
            </w:r>
          </w:p>
        </w:tc>
        <w:tc>
          <w:tcPr>
            <w:tcW w:w="4831" w:type="dxa"/>
            <w:tcBorders>
              <w:top w:val="nil"/>
              <w:left w:val="nil"/>
              <w:bottom w:val="single" w:sz="4" w:space="0" w:color="auto"/>
              <w:right w:val="single" w:sz="4" w:space="0" w:color="auto"/>
            </w:tcBorders>
            <w:noWrap/>
            <w:vAlign w:val="center"/>
            <w:hideMark/>
          </w:tcPr>
          <w:p w14:paraId="6563CEA0"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8,886.00</w:t>
            </w:r>
          </w:p>
        </w:tc>
      </w:tr>
      <w:tr w:rsidR="001F472A" w:rsidRPr="009E7991" w14:paraId="2F8CE6A3"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6E14B1D9"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2AF7C06E"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Large Urbanized</w:t>
            </w:r>
          </w:p>
        </w:tc>
        <w:tc>
          <w:tcPr>
            <w:tcW w:w="4831" w:type="dxa"/>
            <w:tcBorders>
              <w:top w:val="nil"/>
              <w:left w:val="nil"/>
              <w:bottom w:val="single" w:sz="4" w:space="0" w:color="auto"/>
              <w:right w:val="single" w:sz="4" w:space="0" w:color="auto"/>
            </w:tcBorders>
            <w:noWrap/>
            <w:vAlign w:val="center"/>
            <w:hideMark/>
          </w:tcPr>
          <w:p w14:paraId="7D9DF354"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10,730.00</w:t>
            </w:r>
          </w:p>
        </w:tc>
      </w:tr>
      <w:tr w:rsidR="001F472A" w:rsidRPr="009E7991" w14:paraId="0DE71750"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4B78BE46"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72287312"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Major Urbanized</w:t>
            </w:r>
          </w:p>
        </w:tc>
        <w:tc>
          <w:tcPr>
            <w:tcW w:w="4831" w:type="dxa"/>
            <w:tcBorders>
              <w:top w:val="nil"/>
              <w:left w:val="nil"/>
              <w:bottom w:val="single" w:sz="4" w:space="0" w:color="auto"/>
              <w:right w:val="single" w:sz="4" w:space="0" w:color="auto"/>
            </w:tcBorders>
            <w:noWrap/>
            <w:vAlign w:val="center"/>
            <w:hideMark/>
          </w:tcPr>
          <w:p w14:paraId="14D36C1B"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13,550.00</w:t>
            </w:r>
          </w:p>
        </w:tc>
      </w:tr>
      <w:tr w:rsidR="001F472A" w:rsidRPr="009E7991" w14:paraId="7D9F582B" w14:textId="77777777" w:rsidTr="00C77502">
        <w:trPr>
          <w:trHeight w:val="253"/>
        </w:trPr>
        <w:tc>
          <w:tcPr>
            <w:tcW w:w="3775" w:type="dxa"/>
            <w:vMerge w:val="restart"/>
            <w:tcBorders>
              <w:top w:val="nil"/>
              <w:left w:val="single" w:sz="4" w:space="0" w:color="auto"/>
              <w:bottom w:val="single" w:sz="4" w:space="0" w:color="000000"/>
              <w:right w:val="single" w:sz="4" w:space="0" w:color="auto"/>
            </w:tcBorders>
            <w:noWrap/>
            <w:vAlign w:val="center"/>
            <w:hideMark/>
          </w:tcPr>
          <w:p w14:paraId="757600D2"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Other Principal Arterial</w:t>
            </w:r>
          </w:p>
        </w:tc>
        <w:tc>
          <w:tcPr>
            <w:tcW w:w="2080" w:type="dxa"/>
            <w:tcBorders>
              <w:top w:val="nil"/>
              <w:left w:val="nil"/>
              <w:bottom w:val="single" w:sz="4" w:space="0" w:color="auto"/>
              <w:right w:val="single" w:sz="4" w:space="0" w:color="auto"/>
            </w:tcBorders>
            <w:noWrap/>
            <w:vAlign w:val="center"/>
            <w:hideMark/>
          </w:tcPr>
          <w:p w14:paraId="4B0A714C" w14:textId="3ABF4384"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001F472A" w:rsidRPr="009E7991">
              <w:rPr>
                <w:rFonts w:ascii="Arial" w:eastAsia="Malgun Gothic" w:hAnsi="Arial" w:cs="Arial" w:hint="eastAsia"/>
                <w:color w:val="000000"/>
                <w:sz w:val="20"/>
                <w:szCs w:val="20"/>
                <w:lang w:eastAsia="ko-KR"/>
              </w:rPr>
              <w:t xml:space="preserve"> Urban</w:t>
            </w:r>
          </w:p>
        </w:tc>
        <w:tc>
          <w:tcPr>
            <w:tcW w:w="4831" w:type="dxa"/>
            <w:tcBorders>
              <w:top w:val="nil"/>
              <w:left w:val="nil"/>
              <w:bottom w:val="single" w:sz="4" w:space="0" w:color="auto"/>
              <w:right w:val="single" w:sz="4" w:space="0" w:color="auto"/>
            </w:tcBorders>
            <w:noWrap/>
            <w:vAlign w:val="center"/>
            <w:hideMark/>
          </w:tcPr>
          <w:p w14:paraId="6AA957EF"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6,734.00</w:t>
            </w:r>
          </w:p>
        </w:tc>
      </w:tr>
      <w:tr w:rsidR="001F472A" w:rsidRPr="009E7991" w14:paraId="1219CA86"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65065C7C"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4016EC6B" w14:textId="5ABF0E84"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Pr="009E7991">
              <w:rPr>
                <w:rFonts w:ascii="Arial" w:eastAsia="Malgun Gothic" w:hAnsi="Arial" w:cs="Arial" w:hint="eastAsia"/>
                <w:color w:val="000000"/>
                <w:sz w:val="20"/>
                <w:szCs w:val="20"/>
                <w:lang w:eastAsia="ko-KR"/>
              </w:rPr>
              <w:t xml:space="preserve"> </w:t>
            </w:r>
            <w:r w:rsidR="001F472A" w:rsidRPr="009E7991">
              <w:rPr>
                <w:rFonts w:ascii="Arial" w:eastAsia="Malgun Gothic" w:hAnsi="Arial" w:cs="Arial" w:hint="eastAsia"/>
                <w:color w:val="000000"/>
                <w:sz w:val="20"/>
                <w:szCs w:val="20"/>
                <w:lang w:eastAsia="ko-KR"/>
              </w:rPr>
              <w:t>Urbanized</w:t>
            </w:r>
          </w:p>
        </w:tc>
        <w:tc>
          <w:tcPr>
            <w:tcW w:w="4831" w:type="dxa"/>
            <w:tcBorders>
              <w:top w:val="nil"/>
              <w:left w:val="nil"/>
              <w:bottom w:val="single" w:sz="4" w:space="0" w:color="auto"/>
              <w:right w:val="single" w:sz="4" w:space="0" w:color="auto"/>
            </w:tcBorders>
            <w:noWrap/>
            <w:vAlign w:val="center"/>
            <w:hideMark/>
          </w:tcPr>
          <w:p w14:paraId="4A78A9E0"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8,468.00</w:t>
            </w:r>
          </w:p>
        </w:tc>
      </w:tr>
      <w:tr w:rsidR="001F472A" w:rsidRPr="009E7991" w14:paraId="1CCD9390"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027B297C"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49F3335E"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Large Urbanized</w:t>
            </w:r>
          </w:p>
        </w:tc>
        <w:tc>
          <w:tcPr>
            <w:tcW w:w="4831" w:type="dxa"/>
            <w:tcBorders>
              <w:top w:val="nil"/>
              <w:left w:val="nil"/>
              <w:bottom w:val="single" w:sz="4" w:space="0" w:color="auto"/>
              <w:right w:val="single" w:sz="4" w:space="0" w:color="auto"/>
            </w:tcBorders>
            <w:noWrap/>
            <w:vAlign w:val="center"/>
            <w:hideMark/>
          </w:tcPr>
          <w:p w14:paraId="12067545"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10,281.00</w:t>
            </w:r>
          </w:p>
        </w:tc>
      </w:tr>
      <w:tr w:rsidR="001F472A" w:rsidRPr="009E7991" w14:paraId="5B622CA9"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15A2B755"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1E5FFE50"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Major Urbanized</w:t>
            </w:r>
          </w:p>
        </w:tc>
        <w:tc>
          <w:tcPr>
            <w:tcW w:w="4831" w:type="dxa"/>
            <w:tcBorders>
              <w:top w:val="nil"/>
              <w:left w:val="nil"/>
              <w:bottom w:val="single" w:sz="4" w:space="0" w:color="auto"/>
              <w:right w:val="single" w:sz="4" w:space="0" w:color="auto"/>
            </w:tcBorders>
            <w:noWrap/>
            <w:vAlign w:val="center"/>
            <w:hideMark/>
          </w:tcPr>
          <w:p w14:paraId="63AC1302"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12,984.00</w:t>
            </w:r>
          </w:p>
        </w:tc>
      </w:tr>
      <w:tr w:rsidR="001F472A" w:rsidRPr="009E7991" w14:paraId="0033DB37" w14:textId="77777777" w:rsidTr="00C77502">
        <w:trPr>
          <w:trHeight w:val="253"/>
        </w:trPr>
        <w:tc>
          <w:tcPr>
            <w:tcW w:w="3775" w:type="dxa"/>
            <w:vMerge w:val="restart"/>
            <w:tcBorders>
              <w:top w:val="nil"/>
              <w:left w:val="single" w:sz="4" w:space="0" w:color="auto"/>
              <w:bottom w:val="single" w:sz="4" w:space="0" w:color="000000"/>
              <w:right w:val="single" w:sz="4" w:space="0" w:color="auto"/>
            </w:tcBorders>
            <w:noWrap/>
            <w:vAlign w:val="center"/>
            <w:hideMark/>
          </w:tcPr>
          <w:p w14:paraId="60582FAD"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Minor Arterial</w:t>
            </w:r>
          </w:p>
        </w:tc>
        <w:tc>
          <w:tcPr>
            <w:tcW w:w="2080" w:type="dxa"/>
            <w:tcBorders>
              <w:top w:val="nil"/>
              <w:left w:val="nil"/>
              <w:bottom w:val="single" w:sz="4" w:space="0" w:color="auto"/>
              <w:right w:val="single" w:sz="4" w:space="0" w:color="auto"/>
            </w:tcBorders>
            <w:noWrap/>
            <w:vAlign w:val="center"/>
            <w:hideMark/>
          </w:tcPr>
          <w:p w14:paraId="3229E959" w14:textId="3E061B06"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Pr="009E7991">
              <w:rPr>
                <w:rFonts w:ascii="Arial" w:eastAsia="Malgun Gothic" w:hAnsi="Arial" w:cs="Arial" w:hint="eastAsia"/>
                <w:color w:val="000000"/>
                <w:sz w:val="20"/>
                <w:szCs w:val="20"/>
                <w:lang w:eastAsia="ko-KR"/>
              </w:rPr>
              <w:t xml:space="preserve"> </w:t>
            </w:r>
            <w:r w:rsidR="001F472A" w:rsidRPr="009E7991">
              <w:rPr>
                <w:rFonts w:ascii="Arial" w:eastAsia="Malgun Gothic" w:hAnsi="Arial" w:cs="Arial" w:hint="eastAsia"/>
                <w:color w:val="000000"/>
                <w:sz w:val="20"/>
                <w:szCs w:val="20"/>
                <w:lang w:eastAsia="ko-KR"/>
              </w:rPr>
              <w:t>l Urban</w:t>
            </w:r>
          </w:p>
        </w:tc>
        <w:tc>
          <w:tcPr>
            <w:tcW w:w="4831" w:type="dxa"/>
            <w:tcBorders>
              <w:top w:val="nil"/>
              <w:left w:val="nil"/>
              <w:bottom w:val="single" w:sz="4" w:space="0" w:color="auto"/>
              <w:right w:val="single" w:sz="4" w:space="0" w:color="auto"/>
            </w:tcBorders>
            <w:noWrap/>
            <w:vAlign w:val="center"/>
            <w:hideMark/>
          </w:tcPr>
          <w:p w14:paraId="0CE9CB95"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6,107.00</w:t>
            </w:r>
          </w:p>
        </w:tc>
      </w:tr>
      <w:tr w:rsidR="001F472A" w:rsidRPr="009E7991" w14:paraId="695111E2"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606D766A"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6264AB81" w14:textId="0EC9D6E8" w:rsidR="001F472A" w:rsidRPr="009E7991" w:rsidRDefault="00E00B8E" w:rsidP="00C77502">
            <w:pPr>
              <w:spacing w:after="0" w:line="240" w:lineRule="auto"/>
              <w:jc w:val="center"/>
              <w:rPr>
                <w:rFonts w:ascii="Arial" w:eastAsia="Malgun Gothic" w:hAnsi="Arial" w:cs="Arial"/>
                <w:color w:val="000000"/>
                <w:sz w:val="20"/>
                <w:szCs w:val="20"/>
                <w:lang w:eastAsia="ko-KR"/>
              </w:rPr>
            </w:pPr>
            <w:r>
              <w:rPr>
                <w:rFonts w:ascii="Arial" w:eastAsia="Malgun Gothic" w:hAnsi="Arial" w:cs="Arial"/>
                <w:color w:val="000000"/>
                <w:sz w:val="20"/>
                <w:szCs w:val="20"/>
                <w:lang w:eastAsia="ko-KR"/>
              </w:rPr>
              <w:t>Small</w:t>
            </w:r>
            <w:r w:rsidRPr="009E7991">
              <w:rPr>
                <w:rFonts w:ascii="Arial" w:eastAsia="Malgun Gothic" w:hAnsi="Arial" w:cs="Arial" w:hint="eastAsia"/>
                <w:color w:val="000000"/>
                <w:sz w:val="20"/>
                <w:szCs w:val="20"/>
                <w:lang w:eastAsia="ko-KR"/>
              </w:rPr>
              <w:t xml:space="preserve"> </w:t>
            </w:r>
            <w:r w:rsidR="001F472A" w:rsidRPr="009E7991">
              <w:rPr>
                <w:rFonts w:ascii="Arial" w:eastAsia="Malgun Gothic" w:hAnsi="Arial" w:cs="Arial" w:hint="eastAsia"/>
                <w:color w:val="000000"/>
                <w:sz w:val="20"/>
                <w:szCs w:val="20"/>
                <w:lang w:eastAsia="ko-KR"/>
              </w:rPr>
              <w:t>Urbanized</w:t>
            </w:r>
          </w:p>
        </w:tc>
        <w:tc>
          <w:tcPr>
            <w:tcW w:w="4831" w:type="dxa"/>
            <w:tcBorders>
              <w:top w:val="nil"/>
              <w:left w:val="nil"/>
              <w:bottom w:val="single" w:sz="4" w:space="0" w:color="auto"/>
              <w:right w:val="single" w:sz="4" w:space="0" w:color="auto"/>
            </w:tcBorders>
            <w:noWrap/>
            <w:vAlign w:val="center"/>
            <w:hideMark/>
          </w:tcPr>
          <w:p w14:paraId="4B146AC6"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7,721.00</w:t>
            </w:r>
          </w:p>
        </w:tc>
      </w:tr>
      <w:tr w:rsidR="001F472A" w:rsidRPr="009E7991" w14:paraId="078D7C59"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6627F0C7"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254CEECB"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Large Urbanized</w:t>
            </w:r>
          </w:p>
        </w:tc>
        <w:tc>
          <w:tcPr>
            <w:tcW w:w="4831" w:type="dxa"/>
            <w:tcBorders>
              <w:top w:val="nil"/>
              <w:left w:val="nil"/>
              <w:bottom w:val="single" w:sz="4" w:space="0" w:color="auto"/>
              <w:right w:val="single" w:sz="4" w:space="0" w:color="auto"/>
            </w:tcBorders>
            <w:noWrap/>
            <w:vAlign w:val="center"/>
            <w:hideMark/>
          </w:tcPr>
          <w:p w14:paraId="137195D3"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9,456.00</w:t>
            </w:r>
          </w:p>
        </w:tc>
      </w:tr>
      <w:tr w:rsidR="001F472A" w:rsidRPr="009E7991" w14:paraId="70090E06" w14:textId="77777777" w:rsidTr="00C77502">
        <w:trPr>
          <w:trHeight w:val="253"/>
        </w:trPr>
        <w:tc>
          <w:tcPr>
            <w:tcW w:w="3775" w:type="dxa"/>
            <w:vMerge/>
            <w:tcBorders>
              <w:top w:val="nil"/>
              <w:left w:val="single" w:sz="4" w:space="0" w:color="auto"/>
              <w:bottom w:val="single" w:sz="4" w:space="0" w:color="000000"/>
              <w:right w:val="single" w:sz="4" w:space="0" w:color="auto"/>
            </w:tcBorders>
            <w:vAlign w:val="center"/>
            <w:hideMark/>
          </w:tcPr>
          <w:p w14:paraId="59E81AC0"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p>
        </w:tc>
        <w:tc>
          <w:tcPr>
            <w:tcW w:w="2080" w:type="dxa"/>
            <w:tcBorders>
              <w:top w:val="nil"/>
              <w:left w:val="nil"/>
              <w:bottom w:val="single" w:sz="4" w:space="0" w:color="auto"/>
              <w:right w:val="single" w:sz="4" w:space="0" w:color="auto"/>
            </w:tcBorders>
            <w:noWrap/>
            <w:vAlign w:val="center"/>
            <w:hideMark/>
          </w:tcPr>
          <w:p w14:paraId="38572F56"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Major Urbanized</w:t>
            </w:r>
          </w:p>
        </w:tc>
        <w:tc>
          <w:tcPr>
            <w:tcW w:w="4831" w:type="dxa"/>
            <w:tcBorders>
              <w:top w:val="nil"/>
              <w:left w:val="nil"/>
              <w:bottom w:val="single" w:sz="4" w:space="0" w:color="auto"/>
              <w:right w:val="single" w:sz="4" w:space="0" w:color="auto"/>
            </w:tcBorders>
            <w:noWrap/>
            <w:vAlign w:val="center"/>
            <w:hideMark/>
          </w:tcPr>
          <w:p w14:paraId="03BFCC30" w14:textId="77777777" w:rsidR="001F472A" w:rsidRPr="009E7991" w:rsidRDefault="001F472A" w:rsidP="00C77502">
            <w:pPr>
              <w:spacing w:after="0" w:line="240" w:lineRule="auto"/>
              <w:jc w:val="center"/>
              <w:rPr>
                <w:rFonts w:ascii="Arial" w:eastAsia="Malgun Gothic" w:hAnsi="Arial" w:cs="Arial"/>
                <w:color w:val="000000"/>
                <w:sz w:val="20"/>
                <w:szCs w:val="20"/>
                <w:lang w:eastAsia="ko-KR"/>
              </w:rPr>
            </w:pPr>
            <w:r w:rsidRPr="009E7991">
              <w:rPr>
                <w:rFonts w:ascii="Arial" w:eastAsia="Malgun Gothic" w:hAnsi="Arial" w:cs="Arial" w:hint="eastAsia"/>
                <w:color w:val="000000"/>
                <w:sz w:val="20"/>
                <w:szCs w:val="20"/>
                <w:lang w:eastAsia="ko-KR"/>
              </w:rPr>
              <w:t>$                           11,988.00</w:t>
            </w:r>
          </w:p>
        </w:tc>
      </w:tr>
    </w:tbl>
    <w:p w14:paraId="266BEC0D" w14:textId="77777777" w:rsidR="001F472A" w:rsidRDefault="001F472A" w:rsidP="001F472A">
      <w:pPr>
        <w:pStyle w:val="ListParagraph"/>
        <w:ind w:left="992"/>
      </w:pPr>
    </w:p>
    <w:p w14:paraId="52F06688" w14:textId="7D74C3C8" w:rsidR="001F472A" w:rsidRDefault="001F472A" w:rsidP="001F472A">
      <w:pPr>
        <w:ind w:firstLine="720"/>
        <w:rPr>
          <w:lang w:eastAsia="ko-KR"/>
        </w:rPr>
      </w:pPr>
      <w:r>
        <w:rPr>
          <w:lang w:eastAsia="ko-KR"/>
        </w:rPr>
        <w:t>For mapping</w:t>
      </w:r>
      <w:r w:rsidR="00EC1CF5">
        <w:rPr>
          <w:lang w:eastAsia="ko-KR"/>
        </w:rPr>
        <w:t xml:space="preserve"> purposes</w:t>
      </w:r>
      <w:r>
        <w:rPr>
          <w:lang w:eastAsia="ko-KR"/>
        </w:rPr>
        <w:t>, arithmetic average values were used</w:t>
      </w:r>
      <w:r w:rsidR="00EC1CF5">
        <w:t>.</w:t>
      </w:r>
      <w:r>
        <w:t xml:space="preserve"> </w:t>
      </w:r>
    </w:p>
    <w:tbl>
      <w:tblPr>
        <w:tblW w:w="10766" w:type="dxa"/>
        <w:tblInd w:w="-5" w:type="dxa"/>
        <w:tblCellMar>
          <w:left w:w="99" w:type="dxa"/>
          <w:right w:w="99" w:type="dxa"/>
        </w:tblCellMar>
        <w:tblLook w:val="04A0" w:firstRow="1" w:lastRow="0" w:firstColumn="1" w:lastColumn="0" w:noHBand="0" w:noVBand="1"/>
      </w:tblPr>
      <w:tblGrid>
        <w:gridCol w:w="1560"/>
        <w:gridCol w:w="1009"/>
        <w:gridCol w:w="4240"/>
        <w:gridCol w:w="3957"/>
      </w:tblGrid>
      <w:tr w:rsidR="001F472A" w:rsidRPr="00AF50DC" w14:paraId="15FAFD72" w14:textId="77777777" w:rsidTr="00C77502">
        <w:trPr>
          <w:trHeight w:val="327"/>
        </w:trPr>
        <w:tc>
          <w:tcPr>
            <w:tcW w:w="2569" w:type="dxa"/>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6B9A5F46"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VisionEval Input Variables</w:t>
            </w:r>
          </w:p>
        </w:tc>
        <w:tc>
          <w:tcPr>
            <w:tcW w:w="4240" w:type="dxa"/>
            <w:tcBorders>
              <w:top w:val="single" w:sz="4" w:space="0" w:color="auto"/>
              <w:left w:val="nil"/>
              <w:bottom w:val="single" w:sz="4" w:space="0" w:color="auto"/>
              <w:right w:val="single" w:sz="4" w:space="0" w:color="auto"/>
            </w:tcBorders>
            <w:shd w:val="clear" w:color="000000" w:fill="F2F2F2"/>
            <w:vAlign w:val="center"/>
            <w:hideMark/>
          </w:tcPr>
          <w:p w14:paraId="1C45E18A"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Corresponding Road Types</w:t>
            </w:r>
          </w:p>
        </w:tc>
        <w:tc>
          <w:tcPr>
            <w:tcW w:w="3957" w:type="dxa"/>
            <w:tcBorders>
              <w:top w:val="single" w:sz="4" w:space="0" w:color="auto"/>
              <w:left w:val="nil"/>
              <w:bottom w:val="single" w:sz="4" w:space="0" w:color="auto"/>
              <w:right w:val="single" w:sz="4" w:space="0" w:color="auto"/>
            </w:tcBorders>
            <w:shd w:val="clear" w:color="000000" w:fill="F2F2F2"/>
            <w:vAlign w:val="center"/>
            <w:hideMark/>
          </w:tcPr>
          <w:p w14:paraId="3FEA2E32"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Cost per Lane-Mile (2018 USD)</w:t>
            </w:r>
          </w:p>
        </w:tc>
      </w:tr>
      <w:tr w:rsidR="001F472A" w:rsidRPr="00AF50DC" w14:paraId="34B337F8" w14:textId="77777777" w:rsidTr="00C77502">
        <w:trPr>
          <w:trHeight w:val="327"/>
        </w:trPr>
        <w:tc>
          <w:tcPr>
            <w:tcW w:w="2569" w:type="dxa"/>
            <w:gridSpan w:val="2"/>
            <w:tcBorders>
              <w:top w:val="nil"/>
              <w:left w:val="single" w:sz="4" w:space="0" w:color="auto"/>
              <w:bottom w:val="single" w:sz="4" w:space="0" w:color="auto"/>
              <w:right w:val="single" w:sz="4" w:space="0" w:color="auto"/>
            </w:tcBorders>
            <w:vAlign w:val="center"/>
            <w:hideMark/>
          </w:tcPr>
          <w:p w14:paraId="58D9CA9D"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Freeway Lane-Mile Cost</w:t>
            </w:r>
          </w:p>
        </w:tc>
        <w:tc>
          <w:tcPr>
            <w:tcW w:w="4240" w:type="dxa"/>
            <w:tcBorders>
              <w:top w:val="nil"/>
              <w:left w:val="nil"/>
              <w:bottom w:val="single" w:sz="4" w:space="0" w:color="auto"/>
              <w:right w:val="single" w:sz="4" w:space="0" w:color="auto"/>
            </w:tcBorders>
            <w:vAlign w:val="center"/>
            <w:hideMark/>
          </w:tcPr>
          <w:p w14:paraId="363EDED3"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Interstate, Other Freeway, and Expressway</w:t>
            </w:r>
          </w:p>
        </w:tc>
        <w:tc>
          <w:tcPr>
            <w:tcW w:w="3957" w:type="dxa"/>
            <w:tcBorders>
              <w:top w:val="nil"/>
              <w:left w:val="nil"/>
              <w:bottom w:val="single" w:sz="4" w:space="0" w:color="auto"/>
              <w:right w:val="single" w:sz="4" w:space="0" w:color="auto"/>
            </w:tcBorders>
            <w:noWrap/>
            <w:vAlign w:val="center"/>
            <w:hideMark/>
          </w:tcPr>
          <w:p w14:paraId="24F70CCF"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$10,344 (arithmetic average)</w:t>
            </w:r>
          </w:p>
        </w:tc>
      </w:tr>
      <w:tr w:rsidR="001F472A" w:rsidRPr="00AF50DC" w14:paraId="09E609BD" w14:textId="77777777" w:rsidTr="00C77502">
        <w:trPr>
          <w:trHeight w:val="327"/>
        </w:trPr>
        <w:tc>
          <w:tcPr>
            <w:tcW w:w="2569" w:type="dxa"/>
            <w:gridSpan w:val="2"/>
            <w:tcBorders>
              <w:top w:val="nil"/>
              <w:left w:val="single" w:sz="4" w:space="0" w:color="auto"/>
              <w:bottom w:val="single" w:sz="4" w:space="0" w:color="auto"/>
              <w:right w:val="single" w:sz="4" w:space="0" w:color="auto"/>
            </w:tcBorders>
            <w:vAlign w:val="center"/>
            <w:hideMark/>
          </w:tcPr>
          <w:p w14:paraId="5A76E59B"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Arterial Lane-Mile Cost</w:t>
            </w:r>
          </w:p>
        </w:tc>
        <w:tc>
          <w:tcPr>
            <w:tcW w:w="4240" w:type="dxa"/>
            <w:tcBorders>
              <w:top w:val="nil"/>
              <w:left w:val="nil"/>
              <w:bottom w:val="single" w:sz="4" w:space="0" w:color="auto"/>
              <w:right w:val="single" w:sz="4" w:space="0" w:color="auto"/>
            </w:tcBorders>
            <w:vAlign w:val="center"/>
            <w:hideMark/>
          </w:tcPr>
          <w:p w14:paraId="1E535436"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Other Principal Arterial and Minor Arterial</w:t>
            </w:r>
          </w:p>
        </w:tc>
        <w:tc>
          <w:tcPr>
            <w:tcW w:w="3957" w:type="dxa"/>
            <w:tcBorders>
              <w:top w:val="nil"/>
              <w:left w:val="nil"/>
              <w:bottom w:val="single" w:sz="4" w:space="0" w:color="auto"/>
              <w:right w:val="single" w:sz="4" w:space="0" w:color="auto"/>
            </w:tcBorders>
            <w:noWrap/>
            <w:vAlign w:val="center"/>
            <w:hideMark/>
          </w:tcPr>
          <w:p w14:paraId="7DD25A7B" w14:textId="77777777" w:rsidR="001F472A" w:rsidRPr="00AF50DC" w:rsidRDefault="001F472A" w:rsidP="00C77502">
            <w:pPr>
              <w:spacing w:after="0" w:line="240" w:lineRule="auto"/>
              <w:jc w:val="center"/>
              <w:rPr>
                <w:rFonts w:ascii="Arial" w:eastAsia="Malgun Gothic" w:hAnsi="Arial" w:cs="Arial"/>
                <w:color w:val="000000"/>
                <w:sz w:val="20"/>
                <w:szCs w:val="20"/>
                <w:lang w:eastAsia="ko-KR"/>
              </w:rPr>
            </w:pPr>
            <w:r w:rsidRPr="00AF50DC">
              <w:rPr>
                <w:rFonts w:ascii="Arial" w:eastAsia="Malgun Gothic" w:hAnsi="Arial" w:cs="Arial" w:hint="eastAsia"/>
                <w:color w:val="000000"/>
                <w:sz w:val="20"/>
                <w:szCs w:val="20"/>
                <w:lang w:eastAsia="ko-KR"/>
              </w:rPr>
              <w:t>$9,217 (arithmetic average)</w:t>
            </w:r>
          </w:p>
        </w:tc>
      </w:tr>
      <w:tr w:rsidR="001F472A" w:rsidRPr="00FB1046" w14:paraId="5F30E5A1" w14:textId="77777777" w:rsidTr="00C77502">
        <w:trPr>
          <w:gridAfter w:val="3"/>
          <w:wAfter w:w="9201" w:type="dxa"/>
          <w:trHeight w:val="264"/>
        </w:trPr>
        <w:tc>
          <w:tcPr>
            <w:tcW w:w="1560" w:type="dxa"/>
            <w:tcBorders>
              <w:top w:val="nil"/>
              <w:left w:val="nil"/>
              <w:bottom w:val="nil"/>
              <w:right w:val="nil"/>
            </w:tcBorders>
            <w:noWrap/>
            <w:vAlign w:val="center"/>
            <w:hideMark/>
          </w:tcPr>
          <w:p w14:paraId="59103E3F" w14:textId="77777777" w:rsidR="001F472A" w:rsidRPr="00FB1046" w:rsidRDefault="001F472A" w:rsidP="00C77502">
            <w:pPr>
              <w:rPr>
                <w:rFonts w:ascii="Arial" w:eastAsia="Malgun Gothic" w:hAnsi="Arial" w:cs="Arial"/>
                <w:color w:val="000000"/>
                <w:sz w:val="20"/>
                <w:szCs w:val="20"/>
                <w:lang w:eastAsia="ko-KR"/>
              </w:rPr>
            </w:pPr>
          </w:p>
        </w:tc>
      </w:tr>
    </w:tbl>
    <w:p w14:paraId="67EF756E" w14:textId="693A091A" w:rsidR="001F472A" w:rsidRDefault="001F472A" w:rsidP="001F472A">
      <w:pPr>
        <w:ind w:firstLine="720"/>
        <w:rPr>
          <w:lang w:eastAsia="ko-KR"/>
        </w:rPr>
      </w:pPr>
      <w:r>
        <w:rPr>
          <w:lang w:eastAsia="ko-KR"/>
        </w:rPr>
        <w:t xml:space="preserve">The final result is </w:t>
      </w:r>
      <w:r w:rsidR="00375278">
        <w:rPr>
          <w:lang w:eastAsia="ko-KR"/>
        </w:rPr>
        <w:t>shown below.</w:t>
      </w:r>
      <w:r>
        <w:rPr>
          <w:lang w:eastAsia="ko-KR"/>
        </w:rPr>
        <w:t xml:space="preserve"> The </w:t>
      </w:r>
      <w:r w:rsidRPr="001E05B0">
        <w:rPr>
          <w:lang w:eastAsia="ko-KR"/>
        </w:rPr>
        <w:t>field name was updated to reflect the input value year, and was revised to 2018 accordingly.</w:t>
      </w:r>
      <w:r>
        <w:rPr>
          <w:lang w:eastAsia="ko-KR"/>
        </w:rPr>
        <w:t xml:space="preserve"> </w:t>
      </w:r>
    </w:p>
    <w:tbl>
      <w:tblPr>
        <w:tblW w:w="6560" w:type="dxa"/>
        <w:jc w:val="center"/>
        <w:tblCellMar>
          <w:left w:w="99" w:type="dxa"/>
          <w:right w:w="99" w:type="dxa"/>
        </w:tblCellMar>
        <w:tblLook w:val="04A0" w:firstRow="1" w:lastRow="0" w:firstColumn="1" w:lastColumn="0" w:noHBand="0" w:noVBand="1"/>
      </w:tblPr>
      <w:tblGrid>
        <w:gridCol w:w="1660"/>
        <w:gridCol w:w="2500"/>
        <w:gridCol w:w="2400"/>
      </w:tblGrid>
      <w:tr w:rsidR="001F472A" w:rsidRPr="003E09E0" w14:paraId="0987DE91" w14:textId="77777777" w:rsidTr="00C77502">
        <w:trPr>
          <w:trHeight w:val="348"/>
          <w:jc w:val="center"/>
        </w:trPr>
        <w:tc>
          <w:tcPr>
            <w:tcW w:w="166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878E5EF"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Year</w:t>
            </w:r>
          </w:p>
        </w:tc>
        <w:tc>
          <w:tcPr>
            <w:tcW w:w="2500" w:type="dxa"/>
            <w:tcBorders>
              <w:top w:val="single" w:sz="4" w:space="0" w:color="auto"/>
              <w:left w:val="nil"/>
              <w:bottom w:val="single" w:sz="4" w:space="0" w:color="auto"/>
              <w:right w:val="single" w:sz="4" w:space="0" w:color="auto"/>
            </w:tcBorders>
            <w:shd w:val="clear" w:color="000000" w:fill="F2F2F2"/>
            <w:noWrap/>
            <w:vAlign w:val="center"/>
            <w:hideMark/>
          </w:tcPr>
          <w:p w14:paraId="0119EE06"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FwyLnMiCost.2018.1e3</w:t>
            </w:r>
          </w:p>
        </w:tc>
        <w:tc>
          <w:tcPr>
            <w:tcW w:w="2400" w:type="dxa"/>
            <w:tcBorders>
              <w:top w:val="single" w:sz="4" w:space="0" w:color="auto"/>
              <w:left w:val="nil"/>
              <w:bottom w:val="single" w:sz="4" w:space="0" w:color="auto"/>
              <w:right w:val="single" w:sz="4" w:space="0" w:color="auto"/>
            </w:tcBorders>
            <w:shd w:val="clear" w:color="000000" w:fill="F2F2F2"/>
            <w:noWrap/>
            <w:vAlign w:val="center"/>
            <w:hideMark/>
          </w:tcPr>
          <w:p w14:paraId="5ACD1ABE"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ArtLnMiCost.2018.1e3</w:t>
            </w:r>
          </w:p>
        </w:tc>
      </w:tr>
      <w:tr w:rsidR="001F472A" w:rsidRPr="003E09E0" w14:paraId="249D70B7" w14:textId="77777777" w:rsidTr="00C77502">
        <w:trPr>
          <w:trHeight w:val="348"/>
          <w:jc w:val="center"/>
        </w:trPr>
        <w:tc>
          <w:tcPr>
            <w:tcW w:w="1660" w:type="dxa"/>
            <w:tcBorders>
              <w:top w:val="nil"/>
              <w:left w:val="single" w:sz="4" w:space="0" w:color="auto"/>
              <w:bottom w:val="single" w:sz="4" w:space="0" w:color="auto"/>
              <w:right w:val="single" w:sz="4" w:space="0" w:color="auto"/>
            </w:tcBorders>
            <w:noWrap/>
            <w:vAlign w:val="center"/>
            <w:hideMark/>
          </w:tcPr>
          <w:p w14:paraId="3C722310"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20</w:t>
            </w:r>
            <w:r>
              <w:rPr>
                <w:rFonts w:ascii="Arial" w:eastAsia="Malgun Gothic" w:hAnsi="Arial" w:cs="Arial"/>
                <w:color w:val="000000"/>
                <w:sz w:val="20"/>
                <w:szCs w:val="20"/>
                <w:lang w:eastAsia="ko-KR"/>
              </w:rPr>
              <w:t>24</w:t>
            </w:r>
          </w:p>
        </w:tc>
        <w:tc>
          <w:tcPr>
            <w:tcW w:w="2500" w:type="dxa"/>
            <w:tcBorders>
              <w:top w:val="nil"/>
              <w:left w:val="nil"/>
              <w:bottom w:val="single" w:sz="4" w:space="0" w:color="auto"/>
              <w:right w:val="single" w:sz="4" w:space="0" w:color="auto"/>
            </w:tcBorders>
            <w:noWrap/>
            <w:vAlign w:val="center"/>
            <w:hideMark/>
          </w:tcPr>
          <w:p w14:paraId="01B7F41C"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10.344</w:t>
            </w:r>
          </w:p>
        </w:tc>
        <w:tc>
          <w:tcPr>
            <w:tcW w:w="2400" w:type="dxa"/>
            <w:tcBorders>
              <w:top w:val="nil"/>
              <w:left w:val="nil"/>
              <w:bottom w:val="single" w:sz="4" w:space="0" w:color="auto"/>
              <w:right w:val="single" w:sz="4" w:space="0" w:color="auto"/>
            </w:tcBorders>
            <w:noWrap/>
            <w:vAlign w:val="center"/>
            <w:hideMark/>
          </w:tcPr>
          <w:p w14:paraId="091C7ABE"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9.217</w:t>
            </w:r>
          </w:p>
        </w:tc>
      </w:tr>
      <w:tr w:rsidR="001F472A" w:rsidRPr="003E09E0" w14:paraId="61182AD9" w14:textId="77777777" w:rsidTr="00C77502">
        <w:trPr>
          <w:trHeight w:val="348"/>
          <w:jc w:val="center"/>
        </w:trPr>
        <w:tc>
          <w:tcPr>
            <w:tcW w:w="1660" w:type="dxa"/>
            <w:tcBorders>
              <w:top w:val="nil"/>
              <w:left w:val="single" w:sz="4" w:space="0" w:color="auto"/>
              <w:bottom w:val="single" w:sz="4" w:space="0" w:color="auto"/>
              <w:right w:val="single" w:sz="4" w:space="0" w:color="auto"/>
            </w:tcBorders>
            <w:noWrap/>
            <w:vAlign w:val="center"/>
            <w:hideMark/>
          </w:tcPr>
          <w:p w14:paraId="46F9F4F6"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2045</w:t>
            </w:r>
          </w:p>
        </w:tc>
        <w:tc>
          <w:tcPr>
            <w:tcW w:w="2500" w:type="dxa"/>
            <w:tcBorders>
              <w:top w:val="nil"/>
              <w:left w:val="nil"/>
              <w:bottom w:val="single" w:sz="4" w:space="0" w:color="auto"/>
              <w:right w:val="single" w:sz="4" w:space="0" w:color="auto"/>
            </w:tcBorders>
            <w:noWrap/>
            <w:vAlign w:val="center"/>
            <w:hideMark/>
          </w:tcPr>
          <w:p w14:paraId="7E375FD0"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10.344</w:t>
            </w:r>
          </w:p>
        </w:tc>
        <w:tc>
          <w:tcPr>
            <w:tcW w:w="2400" w:type="dxa"/>
            <w:tcBorders>
              <w:top w:val="nil"/>
              <w:left w:val="nil"/>
              <w:bottom w:val="single" w:sz="4" w:space="0" w:color="auto"/>
              <w:right w:val="single" w:sz="4" w:space="0" w:color="auto"/>
            </w:tcBorders>
            <w:noWrap/>
            <w:vAlign w:val="center"/>
            <w:hideMark/>
          </w:tcPr>
          <w:p w14:paraId="2D639A03" w14:textId="77777777" w:rsidR="001F472A" w:rsidRPr="003E09E0" w:rsidRDefault="001F472A" w:rsidP="00C77502">
            <w:pPr>
              <w:spacing w:after="0" w:line="240" w:lineRule="auto"/>
              <w:jc w:val="center"/>
              <w:rPr>
                <w:rFonts w:ascii="Arial" w:eastAsia="Malgun Gothic" w:hAnsi="Arial" w:cs="Arial"/>
                <w:color w:val="000000"/>
                <w:sz w:val="20"/>
                <w:szCs w:val="20"/>
                <w:lang w:eastAsia="ko-KR"/>
              </w:rPr>
            </w:pPr>
            <w:r w:rsidRPr="003E09E0">
              <w:rPr>
                <w:rFonts w:ascii="Arial" w:eastAsia="Malgun Gothic" w:hAnsi="Arial" w:cs="Arial" w:hint="eastAsia"/>
                <w:color w:val="000000"/>
                <w:sz w:val="20"/>
                <w:szCs w:val="20"/>
                <w:lang w:eastAsia="ko-KR"/>
              </w:rPr>
              <w:t>9.217</w:t>
            </w:r>
          </w:p>
        </w:tc>
      </w:tr>
    </w:tbl>
    <w:p w14:paraId="53669E35" w14:textId="74F4EBD5" w:rsidR="00456429" w:rsidRDefault="00456429" w:rsidP="00C72605">
      <w:pPr>
        <w:rPr>
          <w:lang w:eastAsia="ko-KR"/>
        </w:rPr>
      </w:pPr>
    </w:p>
    <w:p w14:paraId="794B2A11" w14:textId="31738464" w:rsidR="00C72605" w:rsidRDefault="00EC1CF5" w:rsidP="00C72605">
      <w:pPr>
        <w:ind w:firstLine="720"/>
        <w:rPr>
          <w:lang w:eastAsia="ko-KR"/>
        </w:rPr>
      </w:pPr>
      <w:r w:rsidRPr="00EC1CF5">
        <w:rPr>
          <w:lang w:eastAsia="ko-KR"/>
        </w:rPr>
        <w:t xml:space="preserve">To obtain HvyTrkPCE, the Highway Capacity Manual 2010, published in December 2010, was used. Although more recent editions of the Highway Capacity Manual (HCM 6th Edition, 2016; HCM 7th Edition, 2022) are available, this analysis references HCM 2010 because it provides clearly defined passenger car equivalent (PCE) values by facility type and terrain condition. Based on Exhibit 11-10 of HCM 2010, which presents truck PCE values by terrain type, a value of 2.0 was selected. This value represents the simple average of the values for level terrain (1.5) and rolling terrain (2.5), reflecting the general topographic characteristics of the Virginia highway network. However, these values may need to </w:t>
      </w:r>
      <w:r w:rsidRPr="00EC1CF5">
        <w:rPr>
          <w:lang w:eastAsia="ko-KR"/>
        </w:rPr>
        <w:lastRenderedPageBreak/>
        <w:t xml:space="preserve">be adjusted depending on the specific characteristics of the study area. </w:t>
      </w:r>
      <w:r w:rsidR="00C72605">
        <w:rPr>
          <w:noProof/>
        </w:rPr>
        <w:drawing>
          <wp:inline distT="0" distB="0" distL="0" distR="0" wp14:anchorId="26E16AE9" wp14:editId="30CF3E64">
            <wp:extent cx="6029642" cy="69553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1874" cy="718863"/>
                    </a:xfrm>
                    <a:prstGeom prst="rect">
                      <a:avLst/>
                    </a:prstGeom>
                    <a:noFill/>
                    <a:ln>
                      <a:noFill/>
                    </a:ln>
                  </pic:spPr>
                </pic:pic>
              </a:graphicData>
            </a:graphic>
          </wp:inline>
        </w:drawing>
      </w:r>
    </w:p>
    <w:p w14:paraId="1E091F31" w14:textId="77777777" w:rsidR="001F472A" w:rsidRPr="00AE5516" w:rsidRDefault="001F472A" w:rsidP="00456429">
      <w:pPr>
        <w:ind w:firstLine="720"/>
        <w:rPr>
          <w:lang w:eastAsia="ko-KR"/>
        </w:rPr>
      </w:pPr>
    </w:p>
    <w:p w14:paraId="06401E8E" w14:textId="067118E9" w:rsidR="002E71F7" w:rsidRPr="00EB0F0D" w:rsidRDefault="002E71F7" w:rsidP="002E71F7">
      <w:pPr>
        <w:rPr>
          <w:rFonts w:ascii="Calibri" w:eastAsia="Calibri" w:hAnsi="Calibri" w:cs="Calibri"/>
          <w:i/>
          <w:iCs/>
          <w:color w:val="000000" w:themeColor="text1"/>
        </w:rPr>
      </w:pPr>
      <w:r w:rsidRPr="00EB0F0D">
        <w:rPr>
          <w:rFonts w:ascii="Calibri" w:eastAsia="Calibri" w:hAnsi="Calibri" w:cs="Calibri"/>
          <w:i/>
          <w:iCs/>
          <w:color w:val="000000" w:themeColor="text1"/>
        </w:rPr>
        <w:t>Forecast Year</w:t>
      </w:r>
    </w:p>
    <w:p w14:paraId="500F04A0" w14:textId="77777777" w:rsidR="00EC1CF5" w:rsidRDefault="00EC1CF5" w:rsidP="00C72605">
      <w:pPr>
        <w:ind w:firstLine="720"/>
        <w:rPr>
          <w:lang w:eastAsia="ko-KR"/>
        </w:rPr>
      </w:pPr>
      <w:r w:rsidRPr="00EC1CF5">
        <w:rPr>
          <w:lang w:eastAsia="ko-KR"/>
        </w:rPr>
        <w:t>Regarding RoadBaseModCost, RoadPresOpMaintCost, and RoadOtherCost, the 2024 values expressed in 2022 dollars were also applied to the 2045 forecast year due to the lack of available forecasting data sources. However, as noted earlier in the Definition of the Input File section, the values still reflect inflation effects within the model, even though the numeric values remain the same, because they are expressed in constant 2022 dollars.</w:t>
      </w:r>
    </w:p>
    <w:p w14:paraId="37E32008" w14:textId="77777777" w:rsidR="00EC1CF5" w:rsidRDefault="00EC1CF5" w:rsidP="00D2482B">
      <w:pPr>
        <w:ind w:firstLine="720"/>
        <w:rPr>
          <w:lang w:eastAsia="ko-KR"/>
        </w:rPr>
      </w:pPr>
      <w:r w:rsidRPr="00EC1CF5">
        <w:rPr>
          <w:lang w:eastAsia="ko-KR"/>
        </w:rPr>
        <w:t>Regarding FwyLnMiCost.2005.1e3 and ArtLnMiCost.2005.1e3, the 2024 values expressed in 2018 dollars were likewise applied to the 2045 forecast year for the same reason described above.</w:t>
      </w:r>
    </w:p>
    <w:p w14:paraId="28C52869" w14:textId="1BAE5F6F" w:rsidR="001F472A" w:rsidRDefault="00EC1CF5" w:rsidP="00D2482B">
      <w:pPr>
        <w:ind w:firstLine="720"/>
        <w:rPr>
          <w:lang w:eastAsia="ko-KR"/>
        </w:rPr>
      </w:pPr>
      <w:r w:rsidRPr="00EC1CF5">
        <w:rPr>
          <w:lang w:eastAsia="ko-KR"/>
        </w:rPr>
        <w:t>The forecast-year value for HvyTrkPCE was assumed to remain the same as the target-year value, based on the assumption that truck operating characteristics and vehicle specifications would not significantly change over time.</w:t>
      </w:r>
    </w:p>
    <w:p w14:paraId="15C43E09" w14:textId="3E29DBA4" w:rsidR="1E12EB73" w:rsidRDefault="1E12EB73" w:rsidP="56F2192B">
      <w:pPr>
        <w:rPr>
          <w:rFonts w:ascii="Calibri" w:eastAsia="MS Mincho" w:hAnsi="Calibri" w:cs="Calibri"/>
        </w:rPr>
      </w:pPr>
    </w:p>
    <w:p w14:paraId="66DC0B1A" w14:textId="22A2CD32" w:rsidR="00D2482B" w:rsidRDefault="00D2482B" w:rsidP="56F2192B">
      <w:pPr>
        <w:rPr>
          <w:rFonts w:ascii="Calibri" w:eastAsia="MS Mincho" w:hAnsi="Calibri" w:cs="Calibri"/>
        </w:rPr>
      </w:pPr>
    </w:p>
    <w:p w14:paraId="5AA6CE74" w14:textId="4C4B296F" w:rsidR="00D2482B" w:rsidRDefault="00D2482B" w:rsidP="56F2192B">
      <w:pPr>
        <w:rPr>
          <w:rFonts w:ascii="Calibri" w:eastAsia="MS Mincho" w:hAnsi="Calibri" w:cs="Calibri"/>
        </w:rPr>
      </w:pPr>
    </w:p>
    <w:p w14:paraId="7A815360" w14:textId="4E6871BA" w:rsidR="00D2482B" w:rsidRDefault="00D2482B" w:rsidP="56F2192B">
      <w:pPr>
        <w:rPr>
          <w:rFonts w:ascii="Calibri" w:eastAsia="MS Mincho" w:hAnsi="Calibri" w:cs="Calibri"/>
        </w:rPr>
      </w:pPr>
    </w:p>
    <w:p w14:paraId="17DFBD1F" w14:textId="7D670BD9" w:rsidR="00D2482B" w:rsidRDefault="00D2482B" w:rsidP="56F2192B">
      <w:pPr>
        <w:rPr>
          <w:rFonts w:ascii="Calibri" w:eastAsia="MS Mincho" w:hAnsi="Calibri" w:cs="Calibri"/>
        </w:rPr>
      </w:pPr>
    </w:p>
    <w:p w14:paraId="753E8FDF" w14:textId="7C224A94" w:rsidR="00D2482B" w:rsidRDefault="00D2482B" w:rsidP="56F2192B">
      <w:pPr>
        <w:rPr>
          <w:rFonts w:ascii="Calibri" w:eastAsia="MS Mincho" w:hAnsi="Calibri" w:cs="Calibri"/>
        </w:rPr>
      </w:pPr>
    </w:p>
    <w:p w14:paraId="4A94179C" w14:textId="2E5AA1A7" w:rsidR="00D2482B" w:rsidRDefault="00D2482B" w:rsidP="56F2192B">
      <w:pPr>
        <w:rPr>
          <w:rFonts w:ascii="Calibri" w:eastAsia="MS Mincho" w:hAnsi="Calibri" w:cs="Calibri"/>
        </w:rPr>
      </w:pPr>
    </w:p>
    <w:p w14:paraId="65F83F4F" w14:textId="7FA1AA03" w:rsidR="00D2482B" w:rsidRDefault="00D2482B" w:rsidP="56F2192B">
      <w:pPr>
        <w:rPr>
          <w:rFonts w:ascii="Calibri" w:eastAsia="MS Mincho" w:hAnsi="Calibri" w:cs="Calibri"/>
        </w:rPr>
      </w:pPr>
    </w:p>
    <w:p w14:paraId="78044001" w14:textId="56185D93" w:rsidR="00D2482B" w:rsidRDefault="00D2482B" w:rsidP="56F2192B">
      <w:pPr>
        <w:rPr>
          <w:rFonts w:ascii="Calibri" w:eastAsia="MS Mincho" w:hAnsi="Calibri" w:cs="Calibri"/>
        </w:rPr>
      </w:pPr>
    </w:p>
    <w:p w14:paraId="7FCAA9F0" w14:textId="1CE65EB7" w:rsidR="00D2482B" w:rsidRDefault="00D2482B" w:rsidP="56F2192B">
      <w:pPr>
        <w:rPr>
          <w:rFonts w:ascii="Calibri" w:eastAsia="MS Mincho" w:hAnsi="Calibri" w:cs="Calibri"/>
        </w:rPr>
      </w:pPr>
    </w:p>
    <w:p w14:paraId="4CCC5624" w14:textId="56117DBE" w:rsidR="00D2482B" w:rsidRDefault="00D2482B" w:rsidP="56F2192B">
      <w:pPr>
        <w:rPr>
          <w:rFonts w:ascii="Calibri" w:eastAsia="MS Mincho" w:hAnsi="Calibri" w:cs="Calibri"/>
        </w:rPr>
      </w:pPr>
    </w:p>
    <w:p w14:paraId="7811B39E" w14:textId="5A24AD2E" w:rsidR="00D2482B" w:rsidRDefault="00D2482B" w:rsidP="56F2192B">
      <w:pPr>
        <w:rPr>
          <w:rFonts w:ascii="Calibri" w:eastAsia="MS Mincho" w:hAnsi="Calibri" w:cs="Calibri"/>
        </w:rPr>
      </w:pPr>
    </w:p>
    <w:p w14:paraId="4C14B66C" w14:textId="51A7189D" w:rsidR="00D2482B" w:rsidRDefault="00D2482B" w:rsidP="56F2192B">
      <w:pPr>
        <w:rPr>
          <w:rFonts w:ascii="Calibri" w:eastAsia="MS Mincho" w:hAnsi="Calibri" w:cs="Calibri"/>
        </w:rPr>
      </w:pPr>
    </w:p>
    <w:p w14:paraId="12680E8A" w14:textId="3D026CE5" w:rsidR="00D2482B" w:rsidRDefault="00D2482B" w:rsidP="56F2192B">
      <w:pPr>
        <w:rPr>
          <w:rFonts w:ascii="Calibri" w:eastAsia="MS Mincho" w:hAnsi="Calibri" w:cs="Calibri"/>
        </w:rPr>
      </w:pPr>
    </w:p>
    <w:p w14:paraId="5A3B2F26" w14:textId="602950A8" w:rsidR="1E12EB73" w:rsidRPr="00EB0F0D" w:rsidRDefault="005C21DD" w:rsidP="56F2192B">
      <w:pPr>
        <w:rPr>
          <w:rFonts w:ascii="Calibri" w:hAnsi="Calibri" w:cs="Calibri"/>
          <w:b/>
          <w:bCs/>
        </w:rPr>
      </w:pPr>
      <w:r w:rsidRPr="00EB0F0D">
        <w:rPr>
          <w:rFonts w:ascii="Calibri" w:hAnsi="Calibri" w:cs="Calibri"/>
          <w:b/>
          <w:bCs/>
        </w:rPr>
        <w:lastRenderedPageBreak/>
        <w:t>Appendix</w:t>
      </w:r>
      <w:r w:rsidR="00D2482B">
        <w:rPr>
          <w:rFonts w:ascii="Calibri" w:hAnsi="Calibri" w:cs="Calibri"/>
          <w:b/>
          <w:bCs/>
        </w:rPr>
        <w:t xml:space="preserve"> 1: Data Sources</w:t>
      </w:r>
    </w:p>
    <w:p w14:paraId="10AF1030" w14:textId="1F0E9E66" w:rsidR="00D2482B" w:rsidRPr="00D2482B" w:rsidRDefault="00D2482B" w:rsidP="00710510">
      <w:pPr>
        <w:spacing w:line="278" w:lineRule="auto"/>
        <w:rPr>
          <w:rFonts w:eastAsia="MS Mincho"/>
        </w:rPr>
      </w:pPr>
      <w:r w:rsidRPr="00D2482B">
        <w:rPr>
          <w:rFonts w:ascii="Calibri" w:hAnsi="Calibri" w:cs="Calibri"/>
          <w:color w:val="000000"/>
          <w:lang w:eastAsia="ko-KR"/>
        </w:rPr>
        <w:t>RoadBaseModCost, RoadPresOpMaintCost and RoadOtherCost</w:t>
      </w:r>
      <w:r>
        <w:t xml:space="preserve">: </w:t>
      </w:r>
      <w:hyperlink r:id="rId13" w:history="1">
        <w:r w:rsidRPr="00DE1094">
          <w:rPr>
            <w:rStyle w:val="Hyperlink"/>
          </w:rPr>
          <w:t>https://reason.org/highway-report/28th-annual-highway-report/</w:t>
        </w:r>
      </w:hyperlink>
      <w:r w:rsidR="00EC1CF5">
        <w:t xml:space="preserve"> </w:t>
      </w:r>
      <w:r>
        <w:rPr>
          <w:rFonts w:eastAsia="MS Mincho"/>
        </w:rPr>
        <w:t>(Related pages: 10, 11, 14, 16, 18, 21)</w:t>
      </w:r>
    </w:p>
    <w:p w14:paraId="5AA1F0F3" w14:textId="54079C9E" w:rsidR="00D2482B" w:rsidRDefault="00D2482B" w:rsidP="00710510">
      <w:pPr>
        <w:spacing w:line="278" w:lineRule="auto"/>
        <w:rPr>
          <w:rFonts w:ascii="Calibri" w:hAnsi="Calibri" w:cs="Calibri"/>
          <w:lang w:eastAsia="ko-KR"/>
        </w:rPr>
      </w:pPr>
      <w:r w:rsidRPr="00D2482B">
        <w:rPr>
          <w:rFonts w:ascii="Calibri" w:hAnsi="Calibri" w:cs="Calibri"/>
          <w:color w:val="000000"/>
          <w:lang w:eastAsia="ko-KR"/>
        </w:rPr>
        <w:t>FwyLnMiCost and ArtLnMiCost</w:t>
      </w:r>
      <w:r>
        <w:rPr>
          <w:rFonts w:ascii="Calibri" w:hAnsi="Calibri" w:cs="Calibri"/>
          <w:color w:val="000000"/>
          <w:lang w:eastAsia="ko-KR"/>
        </w:rPr>
        <w:t xml:space="preserve">: </w:t>
      </w:r>
      <w:r w:rsidRPr="00AA368A">
        <w:t>https://www.fhwa.dot.gov/policy/25cpr/?utm_source=chatgpt.com</w:t>
      </w:r>
      <w:r>
        <w:rPr>
          <w:rFonts w:ascii="Calibri" w:hAnsi="Calibri" w:cs="Calibri"/>
          <w:lang w:eastAsia="ko-KR"/>
        </w:rPr>
        <w:t xml:space="preserve"> (Location on website: </w:t>
      </w:r>
      <w:r>
        <w:rPr>
          <w:rFonts w:ascii="Calibri" w:eastAsia="Times New Roman" w:hAnsi="Calibri" w:cs="Calibri"/>
          <w:color w:val="000000"/>
        </w:rPr>
        <w:t>Conditions and Performance Full Report)</w:t>
      </w:r>
      <w:r w:rsidR="00EC1CF5">
        <w:rPr>
          <w:rFonts w:ascii="Calibri" w:eastAsia="Times New Roman" w:hAnsi="Calibri" w:cs="Calibri"/>
          <w:color w:val="000000"/>
        </w:rPr>
        <w:t xml:space="preserve">, </w:t>
      </w:r>
      <w:r>
        <w:rPr>
          <w:rFonts w:ascii="Calibri" w:hAnsi="Calibri" w:cs="Calibri" w:hint="eastAsia"/>
          <w:lang w:eastAsia="ko-KR"/>
        </w:rPr>
        <w:t>(</w:t>
      </w:r>
      <w:r>
        <w:rPr>
          <w:rFonts w:hint="eastAsia"/>
          <w:lang w:eastAsia="ko-KR"/>
        </w:rPr>
        <w:t>R</w:t>
      </w:r>
      <w:r>
        <w:rPr>
          <w:lang w:eastAsia="ko-KR"/>
        </w:rPr>
        <w:t xml:space="preserve">elated Page: A-10 (Exhibit A-8), </w:t>
      </w:r>
      <w:r w:rsidRPr="00AA368A">
        <w:rPr>
          <w:lang w:eastAsia="ko-KR"/>
        </w:rPr>
        <w:t>Appendix A: Highway Investment Analysis Methodology</w:t>
      </w:r>
      <w:r>
        <w:rPr>
          <w:lang w:eastAsia="ko-KR"/>
        </w:rPr>
        <w:t>)</w:t>
      </w:r>
    </w:p>
    <w:p w14:paraId="291F99A9" w14:textId="03D764A6" w:rsidR="00D2482B" w:rsidRPr="00D2482B" w:rsidRDefault="00D2482B" w:rsidP="00D2482B">
      <w:pPr>
        <w:spacing w:line="278" w:lineRule="auto"/>
        <w:rPr>
          <w:rFonts w:ascii="Calibri" w:hAnsi="Calibri" w:cs="Calibri"/>
          <w:color w:val="000000"/>
          <w:lang w:eastAsia="ko-KR"/>
        </w:rPr>
      </w:pPr>
      <w:r w:rsidRPr="00D2482B">
        <w:rPr>
          <w:rFonts w:ascii="Calibri" w:hAnsi="Calibri" w:cs="Calibri" w:hint="eastAsia"/>
          <w:color w:val="000000"/>
          <w:lang w:eastAsia="ko-KR"/>
        </w:rPr>
        <w:t>H</w:t>
      </w:r>
      <w:r w:rsidRPr="00D2482B">
        <w:rPr>
          <w:rFonts w:ascii="Calibri" w:hAnsi="Calibri" w:cs="Calibri"/>
          <w:color w:val="000000"/>
          <w:lang w:eastAsia="ko-KR"/>
        </w:rPr>
        <w:t>vyTrkPCE</w:t>
      </w:r>
      <w:r>
        <w:rPr>
          <w:rFonts w:ascii="Calibri" w:hAnsi="Calibri" w:cs="Calibri"/>
          <w:color w:val="000000"/>
          <w:lang w:eastAsia="ko-KR"/>
        </w:rPr>
        <w:t xml:space="preserve">: </w:t>
      </w:r>
      <w:r>
        <w:rPr>
          <w:rFonts w:ascii="Calibri" w:eastAsia="Times New Roman" w:hAnsi="Calibri" w:cs="Calibri"/>
          <w:color w:val="000000"/>
        </w:rPr>
        <w:t xml:space="preserve">Highway Capacity Manual 2010 </w:t>
      </w:r>
      <w:r w:rsidRPr="009D2AAF">
        <w:rPr>
          <w:rFonts w:ascii="Calibri" w:eastAsia="Times New Roman" w:hAnsi="Calibri" w:cs="Calibri"/>
          <w:color w:val="000000"/>
        </w:rPr>
        <w:t>(</w:t>
      </w:r>
      <w:r>
        <w:rPr>
          <w:rFonts w:ascii="Calibri" w:eastAsia="Times New Roman" w:hAnsi="Calibri" w:cs="Calibri"/>
          <w:color w:val="000000"/>
        </w:rPr>
        <w:t>published in December</w:t>
      </w:r>
      <w:r w:rsidRPr="009D2AAF">
        <w:rPr>
          <w:rFonts w:ascii="Calibri" w:eastAsia="Times New Roman" w:hAnsi="Calibri" w:cs="Calibri"/>
          <w:color w:val="000000"/>
        </w:rPr>
        <w:t xml:space="preserve"> 20</w:t>
      </w:r>
      <w:r>
        <w:rPr>
          <w:rFonts w:ascii="Calibri" w:eastAsia="Times New Roman" w:hAnsi="Calibri" w:cs="Calibri"/>
          <w:color w:val="000000"/>
        </w:rPr>
        <w:t>10</w:t>
      </w:r>
      <w:r w:rsidRPr="009D2AAF">
        <w:rPr>
          <w:rFonts w:ascii="Calibri" w:eastAsia="Times New Roman" w:hAnsi="Calibri" w:cs="Calibri"/>
          <w:color w:val="000000"/>
        </w:rPr>
        <w:t>)</w:t>
      </w:r>
      <w:r w:rsidR="00EC1CF5">
        <w:rPr>
          <w:rFonts w:ascii="Calibri" w:eastAsia="Times New Roman" w:hAnsi="Calibri" w:cs="Calibri"/>
          <w:color w:val="000000"/>
        </w:rPr>
        <w:t xml:space="preserve">, </w:t>
      </w:r>
      <w:r>
        <w:rPr>
          <w:rFonts w:ascii="Calibri" w:hAnsi="Calibri" w:cs="Calibri" w:hint="eastAsia"/>
          <w:color w:val="000000"/>
          <w:lang w:eastAsia="ko-KR"/>
        </w:rPr>
        <w:t>(</w:t>
      </w:r>
      <w:r>
        <w:rPr>
          <w:rFonts w:hint="eastAsia"/>
          <w:lang w:eastAsia="ko-KR"/>
        </w:rPr>
        <w:t>R</w:t>
      </w:r>
      <w:r>
        <w:rPr>
          <w:lang w:eastAsia="ko-KR"/>
        </w:rPr>
        <w:t xml:space="preserve">elated </w:t>
      </w:r>
      <w:r w:rsidR="00EC1CF5">
        <w:rPr>
          <w:lang w:eastAsia="ko-KR"/>
        </w:rPr>
        <w:t>reference:</w:t>
      </w:r>
      <w:r>
        <w:rPr>
          <w:lang w:eastAsia="ko-KR"/>
        </w:rPr>
        <w:t xml:space="preserve"> </w:t>
      </w:r>
      <w:r w:rsidRPr="00CE6F14">
        <w:rPr>
          <w:lang w:eastAsia="ko-KR"/>
        </w:rPr>
        <w:t>Exhibit 11‐10</w:t>
      </w:r>
      <w:r>
        <w:rPr>
          <w:lang w:eastAsia="ko-KR"/>
        </w:rPr>
        <w:t xml:space="preserve">, </w:t>
      </w:r>
      <w:r>
        <w:t>Page 11-15)</w:t>
      </w:r>
    </w:p>
    <w:p w14:paraId="08B44894" w14:textId="07510653" w:rsidR="00D2482B" w:rsidRDefault="00D2482B" w:rsidP="56F2192B">
      <w:pPr>
        <w:rPr>
          <w:rFonts w:ascii="Calibri" w:eastAsia="MS Mincho" w:hAnsi="Calibri" w:cs="Calibri"/>
        </w:rPr>
      </w:pPr>
    </w:p>
    <w:p w14:paraId="4A6C463D" w14:textId="36CF72D2" w:rsidR="00D2482B" w:rsidRDefault="00D2482B" w:rsidP="56F2192B">
      <w:pPr>
        <w:rPr>
          <w:rFonts w:ascii="Calibri" w:eastAsia="MS Mincho" w:hAnsi="Calibri" w:cs="Calibri"/>
        </w:rPr>
      </w:pPr>
    </w:p>
    <w:p w14:paraId="4873FCED" w14:textId="4A52A093" w:rsidR="00D2482B" w:rsidRPr="0088544D" w:rsidRDefault="00D2482B" w:rsidP="00D2482B">
      <w:pPr>
        <w:rPr>
          <w:b/>
          <w:lang w:eastAsia="ko-KR"/>
        </w:rPr>
      </w:pPr>
      <w:r w:rsidRPr="0088544D">
        <w:rPr>
          <w:b/>
          <w:lang w:eastAsia="ko-KR"/>
        </w:rPr>
        <w:t>Appendix</w:t>
      </w:r>
      <w:r>
        <w:rPr>
          <w:b/>
          <w:lang w:eastAsia="ko-KR"/>
        </w:rPr>
        <w:t xml:space="preserve"> 2</w:t>
      </w:r>
      <w:r w:rsidRPr="0088544D">
        <w:rPr>
          <w:b/>
          <w:lang w:eastAsia="ko-KR"/>
        </w:rPr>
        <w:t>. Review of Year Specification for Input Variables</w:t>
      </w:r>
    </w:p>
    <w:p w14:paraId="24BADA0E" w14:textId="77777777" w:rsidR="00D2482B" w:rsidRDefault="00D2482B" w:rsidP="00D2482B">
      <w:pPr>
        <w:rPr>
          <w:lang w:eastAsia="ko-KR"/>
        </w:rPr>
      </w:pPr>
      <w:r>
        <w:rPr>
          <w:lang w:eastAsia="ko-KR"/>
        </w:rPr>
        <w:t>This appendix examines how input variable values—specifically in region_road_cost.csv—should be entered in terms of the appropriate currency year. The Sayed model presents an example using region_road_cost.csv, in which the base year is 2019, and the three variables (RoadBaseModCost.2005, RoadPresOpMaintCost.2005, RoadOtherCost.2005) appear to use cost values denominated in 2005 dollars. To determine the proper input format, we reviewed the relevant module and the underlying logic.</w:t>
      </w:r>
    </w:p>
    <w:tbl>
      <w:tblPr>
        <w:tblW w:w="0" w:type="auto"/>
        <w:tblCellMar>
          <w:left w:w="99" w:type="dxa"/>
          <w:right w:w="99" w:type="dxa"/>
        </w:tblCellMar>
        <w:tblLook w:val="04A0" w:firstRow="1" w:lastRow="0" w:firstColumn="1" w:lastColumn="0" w:noHBand="0" w:noVBand="1"/>
      </w:tblPr>
      <w:tblGrid>
        <w:gridCol w:w="625"/>
        <w:gridCol w:w="1896"/>
        <w:gridCol w:w="2140"/>
        <w:gridCol w:w="1634"/>
        <w:gridCol w:w="1794"/>
        <w:gridCol w:w="1710"/>
        <w:gridCol w:w="991"/>
      </w:tblGrid>
      <w:tr w:rsidR="00D2482B" w:rsidRPr="00D623BD" w14:paraId="747C1738" w14:textId="77777777" w:rsidTr="009853B2">
        <w:trPr>
          <w:trHeight w:val="348"/>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2F4C0947"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Year</w:t>
            </w:r>
          </w:p>
        </w:tc>
        <w:tc>
          <w:tcPr>
            <w:tcW w:w="1747" w:type="dxa"/>
            <w:tcBorders>
              <w:top w:val="single" w:sz="4" w:space="0" w:color="auto"/>
              <w:left w:val="nil"/>
              <w:bottom w:val="single" w:sz="4" w:space="0" w:color="auto"/>
              <w:right w:val="single" w:sz="4" w:space="0" w:color="auto"/>
            </w:tcBorders>
            <w:noWrap/>
            <w:vAlign w:val="center"/>
            <w:hideMark/>
          </w:tcPr>
          <w:p w14:paraId="130CB97E"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RoadBaseModCost.2005</w:t>
            </w:r>
          </w:p>
        </w:tc>
        <w:tc>
          <w:tcPr>
            <w:tcW w:w="0" w:type="auto"/>
            <w:tcBorders>
              <w:top w:val="single" w:sz="4" w:space="0" w:color="auto"/>
              <w:left w:val="nil"/>
              <w:bottom w:val="single" w:sz="4" w:space="0" w:color="auto"/>
              <w:right w:val="single" w:sz="4" w:space="0" w:color="auto"/>
            </w:tcBorders>
            <w:noWrap/>
            <w:vAlign w:val="center"/>
            <w:hideMark/>
          </w:tcPr>
          <w:p w14:paraId="6A34E24D"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RoadPresOpMaintCost.2005</w:t>
            </w:r>
          </w:p>
        </w:tc>
        <w:tc>
          <w:tcPr>
            <w:tcW w:w="0" w:type="auto"/>
            <w:tcBorders>
              <w:top w:val="single" w:sz="4" w:space="0" w:color="auto"/>
              <w:left w:val="nil"/>
              <w:bottom w:val="single" w:sz="4" w:space="0" w:color="auto"/>
              <w:right w:val="single" w:sz="4" w:space="0" w:color="auto"/>
            </w:tcBorders>
            <w:noWrap/>
            <w:vAlign w:val="center"/>
            <w:hideMark/>
          </w:tcPr>
          <w:p w14:paraId="09DA8169"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RoadOtherCost.2005</w:t>
            </w:r>
          </w:p>
        </w:tc>
        <w:tc>
          <w:tcPr>
            <w:tcW w:w="0" w:type="auto"/>
            <w:tcBorders>
              <w:top w:val="single" w:sz="4" w:space="0" w:color="auto"/>
              <w:left w:val="nil"/>
              <w:bottom w:val="single" w:sz="4" w:space="0" w:color="auto"/>
              <w:right w:val="single" w:sz="4" w:space="0" w:color="auto"/>
            </w:tcBorders>
            <w:noWrap/>
            <w:vAlign w:val="center"/>
            <w:hideMark/>
          </w:tcPr>
          <w:p w14:paraId="1EA36007"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FwyLnMiCost.2005.1e3</w:t>
            </w:r>
          </w:p>
        </w:tc>
        <w:tc>
          <w:tcPr>
            <w:tcW w:w="0" w:type="auto"/>
            <w:tcBorders>
              <w:top w:val="single" w:sz="4" w:space="0" w:color="auto"/>
              <w:left w:val="nil"/>
              <w:bottom w:val="single" w:sz="4" w:space="0" w:color="auto"/>
              <w:right w:val="single" w:sz="4" w:space="0" w:color="auto"/>
            </w:tcBorders>
            <w:noWrap/>
            <w:vAlign w:val="center"/>
            <w:hideMark/>
          </w:tcPr>
          <w:p w14:paraId="7CA7BFEF"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ArtLnMiCost.2005.1e3</w:t>
            </w:r>
          </w:p>
        </w:tc>
        <w:tc>
          <w:tcPr>
            <w:tcW w:w="0" w:type="auto"/>
            <w:tcBorders>
              <w:top w:val="single" w:sz="4" w:space="0" w:color="auto"/>
              <w:left w:val="nil"/>
              <w:bottom w:val="single" w:sz="4" w:space="0" w:color="auto"/>
              <w:right w:val="single" w:sz="4" w:space="0" w:color="auto"/>
            </w:tcBorders>
            <w:noWrap/>
            <w:vAlign w:val="center"/>
            <w:hideMark/>
          </w:tcPr>
          <w:p w14:paraId="4A7B3A65"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HvyTrkPCE</w:t>
            </w:r>
          </w:p>
        </w:tc>
      </w:tr>
      <w:tr w:rsidR="00D2482B" w:rsidRPr="00D623BD" w14:paraId="61DC48D0" w14:textId="77777777" w:rsidTr="009853B2">
        <w:trPr>
          <w:trHeight w:val="348"/>
        </w:trPr>
        <w:tc>
          <w:tcPr>
            <w:tcW w:w="704" w:type="dxa"/>
            <w:tcBorders>
              <w:top w:val="nil"/>
              <w:left w:val="single" w:sz="4" w:space="0" w:color="auto"/>
              <w:bottom w:val="single" w:sz="4" w:space="0" w:color="auto"/>
              <w:right w:val="single" w:sz="4" w:space="0" w:color="auto"/>
            </w:tcBorders>
            <w:noWrap/>
            <w:vAlign w:val="center"/>
            <w:hideMark/>
          </w:tcPr>
          <w:p w14:paraId="5793BA13"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color w:val="000000"/>
                <w:sz w:val="18"/>
                <w:szCs w:val="20"/>
                <w:lang w:eastAsia="ko-KR"/>
              </w:rPr>
              <w:t>2024</w:t>
            </w:r>
          </w:p>
        </w:tc>
        <w:tc>
          <w:tcPr>
            <w:tcW w:w="1747" w:type="dxa"/>
            <w:tcBorders>
              <w:top w:val="nil"/>
              <w:left w:val="nil"/>
              <w:bottom w:val="single" w:sz="4" w:space="0" w:color="auto"/>
              <w:right w:val="single" w:sz="4" w:space="0" w:color="auto"/>
            </w:tcBorders>
            <w:noWrap/>
            <w:vAlign w:val="center"/>
            <w:hideMark/>
          </w:tcPr>
          <w:p w14:paraId="5956591F"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0.004</w:t>
            </w:r>
          </w:p>
        </w:tc>
        <w:tc>
          <w:tcPr>
            <w:tcW w:w="0" w:type="auto"/>
            <w:tcBorders>
              <w:top w:val="nil"/>
              <w:left w:val="nil"/>
              <w:bottom w:val="single" w:sz="4" w:space="0" w:color="auto"/>
              <w:right w:val="single" w:sz="4" w:space="0" w:color="auto"/>
            </w:tcBorders>
            <w:noWrap/>
            <w:vAlign w:val="center"/>
            <w:hideMark/>
          </w:tcPr>
          <w:p w14:paraId="60A5DB84"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0.01</w:t>
            </w:r>
          </w:p>
        </w:tc>
        <w:tc>
          <w:tcPr>
            <w:tcW w:w="0" w:type="auto"/>
            <w:tcBorders>
              <w:top w:val="nil"/>
              <w:left w:val="nil"/>
              <w:bottom w:val="single" w:sz="4" w:space="0" w:color="auto"/>
              <w:right w:val="single" w:sz="4" w:space="0" w:color="auto"/>
            </w:tcBorders>
            <w:noWrap/>
            <w:vAlign w:val="center"/>
            <w:hideMark/>
          </w:tcPr>
          <w:p w14:paraId="55E34E50"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0.015</w:t>
            </w:r>
          </w:p>
        </w:tc>
        <w:tc>
          <w:tcPr>
            <w:tcW w:w="0" w:type="auto"/>
            <w:tcBorders>
              <w:top w:val="nil"/>
              <w:left w:val="nil"/>
              <w:bottom w:val="single" w:sz="4" w:space="0" w:color="auto"/>
              <w:right w:val="single" w:sz="4" w:space="0" w:color="auto"/>
            </w:tcBorders>
            <w:noWrap/>
            <w:vAlign w:val="center"/>
            <w:hideMark/>
          </w:tcPr>
          <w:p w14:paraId="0C403A78"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4900</w:t>
            </w:r>
          </w:p>
        </w:tc>
        <w:tc>
          <w:tcPr>
            <w:tcW w:w="0" w:type="auto"/>
            <w:tcBorders>
              <w:top w:val="nil"/>
              <w:left w:val="nil"/>
              <w:bottom w:val="single" w:sz="4" w:space="0" w:color="auto"/>
              <w:right w:val="single" w:sz="4" w:space="0" w:color="auto"/>
            </w:tcBorders>
            <w:noWrap/>
            <w:vAlign w:val="center"/>
            <w:hideMark/>
          </w:tcPr>
          <w:p w14:paraId="170FB42F"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1800</w:t>
            </w:r>
          </w:p>
        </w:tc>
        <w:tc>
          <w:tcPr>
            <w:tcW w:w="0" w:type="auto"/>
            <w:tcBorders>
              <w:top w:val="nil"/>
              <w:left w:val="nil"/>
              <w:bottom w:val="single" w:sz="4" w:space="0" w:color="auto"/>
              <w:right w:val="single" w:sz="4" w:space="0" w:color="auto"/>
            </w:tcBorders>
            <w:noWrap/>
            <w:vAlign w:val="center"/>
            <w:hideMark/>
          </w:tcPr>
          <w:p w14:paraId="50803774"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3</w:t>
            </w:r>
          </w:p>
        </w:tc>
      </w:tr>
      <w:tr w:rsidR="00D2482B" w:rsidRPr="00D623BD" w14:paraId="73DA145D" w14:textId="77777777" w:rsidTr="009853B2">
        <w:trPr>
          <w:trHeight w:val="348"/>
        </w:trPr>
        <w:tc>
          <w:tcPr>
            <w:tcW w:w="704" w:type="dxa"/>
            <w:tcBorders>
              <w:top w:val="nil"/>
              <w:left w:val="single" w:sz="4" w:space="0" w:color="auto"/>
              <w:bottom w:val="single" w:sz="4" w:space="0" w:color="auto"/>
              <w:right w:val="single" w:sz="4" w:space="0" w:color="auto"/>
            </w:tcBorders>
            <w:noWrap/>
            <w:vAlign w:val="center"/>
            <w:hideMark/>
          </w:tcPr>
          <w:p w14:paraId="5AE22E13"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2045</w:t>
            </w:r>
          </w:p>
        </w:tc>
        <w:tc>
          <w:tcPr>
            <w:tcW w:w="1747" w:type="dxa"/>
            <w:tcBorders>
              <w:top w:val="nil"/>
              <w:left w:val="nil"/>
              <w:bottom w:val="single" w:sz="4" w:space="0" w:color="auto"/>
              <w:right w:val="single" w:sz="4" w:space="0" w:color="auto"/>
            </w:tcBorders>
            <w:noWrap/>
            <w:vAlign w:val="center"/>
            <w:hideMark/>
          </w:tcPr>
          <w:p w14:paraId="320E78ED"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0.004</w:t>
            </w:r>
          </w:p>
        </w:tc>
        <w:tc>
          <w:tcPr>
            <w:tcW w:w="0" w:type="auto"/>
            <w:tcBorders>
              <w:top w:val="nil"/>
              <w:left w:val="nil"/>
              <w:bottom w:val="single" w:sz="4" w:space="0" w:color="auto"/>
              <w:right w:val="single" w:sz="4" w:space="0" w:color="auto"/>
            </w:tcBorders>
            <w:noWrap/>
            <w:vAlign w:val="center"/>
            <w:hideMark/>
          </w:tcPr>
          <w:p w14:paraId="7041F6C2"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0.01</w:t>
            </w:r>
          </w:p>
        </w:tc>
        <w:tc>
          <w:tcPr>
            <w:tcW w:w="0" w:type="auto"/>
            <w:tcBorders>
              <w:top w:val="nil"/>
              <w:left w:val="nil"/>
              <w:bottom w:val="single" w:sz="4" w:space="0" w:color="auto"/>
              <w:right w:val="single" w:sz="4" w:space="0" w:color="auto"/>
            </w:tcBorders>
            <w:noWrap/>
            <w:vAlign w:val="center"/>
            <w:hideMark/>
          </w:tcPr>
          <w:p w14:paraId="2DA46870"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0.015</w:t>
            </w:r>
          </w:p>
        </w:tc>
        <w:tc>
          <w:tcPr>
            <w:tcW w:w="0" w:type="auto"/>
            <w:tcBorders>
              <w:top w:val="nil"/>
              <w:left w:val="nil"/>
              <w:bottom w:val="single" w:sz="4" w:space="0" w:color="auto"/>
              <w:right w:val="single" w:sz="4" w:space="0" w:color="auto"/>
            </w:tcBorders>
            <w:noWrap/>
            <w:vAlign w:val="center"/>
            <w:hideMark/>
          </w:tcPr>
          <w:p w14:paraId="17476330"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4900</w:t>
            </w:r>
          </w:p>
        </w:tc>
        <w:tc>
          <w:tcPr>
            <w:tcW w:w="0" w:type="auto"/>
            <w:tcBorders>
              <w:top w:val="nil"/>
              <w:left w:val="nil"/>
              <w:bottom w:val="single" w:sz="4" w:space="0" w:color="auto"/>
              <w:right w:val="single" w:sz="4" w:space="0" w:color="auto"/>
            </w:tcBorders>
            <w:noWrap/>
            <w:vAlign w:val="center"/>
            <w:hideMark/>
          </w:tcPr>
          <w:p w14:paraId="28B4DB64"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1800</w:t>
            </w:r>
          </w:p>
        </w:tc>
        <w:tc>
          <w:tcPr>
            <w:tcW w:w="0" w:type="auto"/>
            <w:tcBorders>
              <w:top w:val="nil"/>
              <w:left w:val="nil"/>
              <w:bottom w:val="single" w:sz="4" w:space="0" w:color="auto"/>
              <w:right w:val="single" w:sz="4" w:space="0" w:color="auto"/>
            </w:tcBorders>
            <w:noWrap/>
            <w:vAlign w:val="center"/>
            <w:hideMark/>
          </w:tcPr>
          <w:p w14:paraId="3D515296" w14:textId="77777777" w:rsidR="00D2482B" w:rsidRPr="00452446" w:rsidRDefault="00D2482B" w:rsidP="009853B2">
            <w:pPr>
              <w:spacing w:after="0" w:line="240" w:lineRule="auto"/>
              <w:jc w:val="center"/>
              <w:rPr>
                <w:rFonts w:ascii="Arial" w:eastAsia="Malgun Gothic" w:hAnsi="Arial" w:cs="Arial"/>
                <w:color w:val="000000"/>
                <w:sz w:val="18"/>
                <w:szCs w:val="20"/>
                <w:lang w:eastAsia="ko-KR"/>
              </w:rPr>
            </w:pPr>
            <w:r w:rsidRPr="00452446">
              <w:rPr>
                <w:rFonts w:ascii="Arial" w:eastAsia="Malgun Gothic" w:hAnsi="Arial" w:cs="Arial" w:hint="eastAsia"/>
                <w:color w:val="000000"/>
                <w:sz w:val="18"/>
                <w:szCs w:val="20"/>
                <w:lang w:eastAsia="ko-KR"/>
              </w:rPr>
              <w:t>3</w:t>
            </w:r>
          </w:p>
        </w:tc>
      </w:tr>
    </w:tbl>
    <w:p w14:paraId="104C25C1" w14:textId="77777777" w:rsidR="00D2482B" w:rsidRDefault="00D2482B" w:rsidP="00D2482B">
      <w:pPr>
        <w:rPr>
          <w:lang w:eastAsia="ko-KR"/>
        </w:rPr>
      </w:pPr>
    </w:p>
    <w:p w14:paraId="54511B3A" w14:textId="77777777" w:rsidR="00D2482B" w:rsidRDefault="00D2482B" w:rsidP="00D2482B">
      <w:pPr>
        <w:pStyle w:val="ListParagraph"/>
        <w:numPr>
          <w:ilvl w:val="0"/>
          <w:numId w:val="10"/>
        </w:numPr>
        <w:spacing w:line="278" w:lineRule="auto"/>
        <w:rPr>
          <w:lang w:eastAsia="ko-KR"/>
        </w:rPr>
      </w:pPr>
      <w:r>
        <w:rPr>
          <w:rFonts w:hint="eastAsia"/>
          <w:lang w:eastAsia="ko-KR"/>
        </w:rPr>
        <w:t>R</w:t>
      </w:r>
      <w:r>
        <w:rPr>
          <w:lang w:eastAsia="ko-KR"/>
        </w:rPr>
        <w:t xml:space="preserve">elevant Module: </w:t>
      </w:r>
      <w:r w:rsidRPr="00D623BD">
        <w:rPr>
          <w:lang w:eastAsia="ko-KR"/>
        </w:rPr>
        <w:t>BalanceRoadCostsAndRevenues</w:t>
      </w:r>
      <w:r>
        <w:rPr>
          <w:lang w:eastAsia="ko-KR"/>
        </w:rPr>
        <w:t xml:space="preserve"> </w:t>
      </w:r>
      <w:r>
        <w:rPr>
          <w:noProof/>
          <w:lang w:eastAsia="ko-KR"/>
        </w:rPr>
        <w:drawing>
          <wp:inline distT="0" distB="0" distL="0" distR="0" wp14:anchorId="65E70DDF" wp14:editId="179C16AB">
            <wp:extent cx="6377111" cy="22372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7659" cy="2247937"/>
                    </a:xfrm>
                    <a:prstGeom prst="rect">
                      <a:avLst/>
                    </a:prstGeom>
                    <a:noFill/>
                    <a:ln>
                      <a:noFill/>
                    </a:ln>
                  </pic:spPr>
                </pic:pic>
              </a:graphicData>
            </a:graphic>
          </wp:inline>
        </w:drawing>
      </w:r>
    </w:p>
    <w:p w14:paraId="468E702A" w14:textId="77777777" w:rsidR="00D2482B" w:rsidRDefault="00D2482B" w:rsidP="00D2482B">
      <w:pPr>
        <w:pStyle w:val="ListParagraph"/>
        <w:ind w:left="760"/>
        <w:rPr>
          <w:lang w:eastAsia="ko-KR"/>
        </w:rPr>
      </w:pPr>
    </w:p>
    <w:p w14:paraId="6171CAE8" w14:textId="77777777" w:rsidR="00D2482B" w:rsidRDefault="00D2482B" w:rsidP="00D2482B">
      <w:pPr>
        <w:pStyle w:val="ListParagraph"/>
        <w:numPr>
          <w:ilvl w:val="0"/>
          <w:numId w:val="10"/>
        </w:numPr>
        <w:spacing w:line="278" w:lineRule="auto"/>
        <w:rPr>
          <w:lang w:eastAsia="ko-KR"/>
        </w:rPr>
      </w:pPr>
      <w:r>
        <w:rPr>
          <w:rFonts w:hint="eastAsia"/>
          <w:lang w:eastAsia="ko-KR"/>
        </w:rPr>
        <w:t>I</w:t>
      </w:r>
      <w:r>
        <w:rPr>
          <w:lang w:eastAsia="ko-KR"/>
        </w:rPr>
        <w:t xml:space="preserve">nput Format Logic: </w:t>
      </w:r>
      <w:r w:rsidRPr="0088544D">
        <w:rPr>
          <w:lang w:eastAsia="ko-KR"/>
        </w:rPr>
        <w:t xml:space="preserve">According to the module documentation for BalanceRoadCostsAndRevenues, users are allowed to specify the year of currency directly within the field name. Specifically, when the TYPE is set to "currency", the field name must be followed </w:t>
      </w:r>
      <w:r w:rsidRPr="0088544D">
        <w:rPr>
          <w:lang w:eastAsia="ko-KR"/>
        </w:rPr>
        <w:lastRenderedPageBreak/>
        <w:t>by a period and the year the values are denominated in.</w:t>
      </w:r>
      <w:r>
        <w:rPr>
          <w:lang w:eastAsia="ko-KR"/>
        </w:rPr>
        <w:t xml:space="preserve"> </w:t>
      </w:r>
      <w:r>
        <w:t>This implies that users do not need to manually convert currency values to the model’s base year (e.g., 2005), as the system handles that internally.</w:t>
      </w:r>
    </w:p>
    <w:p w14:paraId="65820357" w14:textId="77777777" w:rsidR="00D2482B" w:rsidRPr="0088544D" w:rsidRDefault="00D2482B" w:rsidP="00D2482B">
      <w:pPr>
        <w:pStyle w:val="ListParagraph"/>
        <w:ind w:left="760"/>
        <w:rPr>
          <w:sz w:val="8"/>
          <w:lang w:eastAsia="ko-KR"/>
        </w:rPr>
      </w:pPr>
    </w:p>
    <w:p w14:paraId="47C7115F" w14:textId="77777777" w:rsidR="00D2482B" w:rsidRPr="0088544D" w:rsidRDefault="00D2482B" w:rsidP="00D2482B">
      <w:pPr>
        <w:pStyle w:val="ListParagraph"/>
        <w:ind w:left="760"/>
        <w:rPr>
          <w:i/>
          <w:lang w:eastAsia="ko-KR"/>
        </w:rPr>
      </w:pPr>
      <w:r w:rsidRPr="0088544D">
        <w:rPr>
          <w:i/>
          <w:lang w:eastAsia="ko-KR"/>
        </w:rPr>
        <w:t xml:space="preserve">NAME - The field (column) name in the input file. Note that if the 'TYPE' is 'currency' </w:t>
      </w:r>
      <w:r w:rsidRPr="0088544D">
        <w:rPr>
          <w:i/>
          <w:u w:val="single"/>
          <w:lang w:eastAsia="ko-KR"/>
        </w:rPr>
        <w:t>the field name must be followed by a period and the year that the currency is denominated in</w:t>
      </w:r>
      <w:r w:rsidRPr="0088544D">
        <w:rPr>
          <w:i/>
          <w:lang w:eastAsia="ko-KR"/>
        </w:rPr>
        <w:t xml:space="preserve">. </w:t>
      </w:r>
      <w:r w:rsidRPr="0088544D">
        <w:rPr>
          <w:i/>
          <w:u w:val="single"/>
          <w:lang w:eastAsia="ko-KR"/>
        </w:rPr>
        <w:t xml:space="preserve">For </w:t>
      </w:r>
      <w:proofErr w:type="gramStart"/>
      <w:r w:rsidRPr="0088544D">
        <w:rPr>
          <w:i/>
          <w:u w:val="single"/>
          <w:lang w:eastAsia="ko-KR"/>
        </w:rPr>
        <w:t>example</w:t>
      </w:r>
      <w:proofErr w:type="gramEnd"/>
      <w:r w:rsidRPr="0088544D">
        <w:rPr>
          <w:i/>
          <w:u w:val="single"/>
          <w:lang w:eastAsia="ko-KR"/>
        </w:rPr>
        <w:t xml:space="preserve"> if the NAME is '</w:t>
      </w:r>
      <w:proofErr w:type="spellStart"/>
      <w:r w:rsidRPr="0088544D">
        <w:rPr>
          <w:i/>
          <w:u w:val="single"/>
          <w:lang w:eastAsia="ko-KR"/>
        </w:rPr>
        <w:t>HHIncomePC</w:t>
      </w:r>
      <w:proofErr w:type="spellEnd"/>
      <w:r w:rsidRPr="0088544D">
        <w:rPr>
          <w:i/>
          <w:u w:val="single"/>
          <w:lang w:eastAsia="ko-KR"/>
        </w:rPr>
        <w:t>' (household per capita income) and the input values are in 2010 dollars, the field name in the file must be 'HHIncomePC.2010'.</w:t>
      </w:r>
      <w:r w:rsidRPr="0088544D">
        <w:rPr>
          <w:i/>
          <w:lang w:eastAsia="ko-KR"/>
        </w:rPr>
        <w:t xml:space="preserve"> </w:t>
      </w:r>
      <w:r w:rsidRPr="0088544D">
        <w:rPr>
          <w:i/>
          <w:u w:val="single"/>
          <w:lang w:eastAsia="ko-KR"/>
        </w:rPr>
        <w:t>The framework uses the embedded date information to convert the currency into base year currency amounts.</w:t>
      </w:r>
      <w:r w:rsidRPr="0088544D">
        <w:rPr>
          <w:i/>
          <w:lang w:eastAsia="ko-KR"/>
        </w:rPr>
        <w:t xml:space="preserve"> The user may also embed a magnitude indicator if inputs are in thousand, millions, etc. The VisionEval model system design and users guide should be consulted on how to do that.</w:t>
      </w:r>
    </w:p>
    <w:p w14:paraId="3AF25183" w14:textId="77777777" w:rsidR="00D2482B" w:rsidRPr="0088544D" w:rsidRDefault="00D2482B" w:rsidP="00D2482B">
      <w:pPr>
        <w:pStyle w:val="ListParagraph"/>
        <w:ind w:left="760"/>
        <w:rPr>
          <w:lang w:eastAsia="ko-KR"/>
        </w:rPr>
      </w:pPr>
    </w:p>
    <w:p w14:paraId="7D2DECEC" w14:textId="77777777" w:rsidR="00D2482B" w:rsidRDefault="00D2482B" w:rsidP="00D2482B">
      <w:pPr>
        <w:pStyle w:val="ListParagraph"/>
        <w:numPr>
          <w:ilvl w:val="0"/>
          <w:numId w:val="10"/>
        </w:numPr>
        <w:spacing w:line="278" w:lineRule="auto"/>
        <w:rPr>
          <w:lang w:eastAsia="ko-KR"/>
        </w:rPr>
      </w:pPr>
      <w:r>
        <w:rPr>
          <w:lang w:eastAsia="ko-KR"/>
        </w:rPr>
        <w:t>Conclusion: Input variable names can be updated to reflect the actual year of the cost values provided (e.g., RoadBaseModCost.2022). This approach allows the model to apply the necessary deflation logic internally and avoids unnecessary manual adjustments.</w:t>
      </w:r>
    </w:p>
    <w:p w14:paraId="4F74A1E7" w14:textId="77777777" w:rsidR="00D2482B" w:rsidRPr="00D2482B" w:rsidRDefault="00D2482B" w:rsidP="56F2192B">
      <w:pPr>
        <w:rPr>
          <w:rFonts w:ascii="Calibri" w:eastAsia="MS Mincho" w:hAnsi="Calibri" w:cs="Calibri"/>
        </w:rPr>
      </w:pPr>
    </w:p>
    <w:sectPr w:rsidR="00D2482B" w:rsidRPr="00D2482B" w:rsidSect="002E71F7">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198B" w14:textId="77777777" w:rsidR="004B056E" w:rsidRDefault="004B056E" w:rsidP="005C21DD">
      <w:pPr>
        <w:spacing w:after="0" w:line="240" w:lineRule="auto"/>
      </w:pPr>
      <w:r>
        <w:separator/>
      </w:r>
    </w:p>
  </w:endnote>
  <w:endnote w:type="continuationSeparator" w:id="0">
    <w:p w14:paraId="41BC2D8A" w14:textId="77777777" w:rsidR="004B056E" w:rsidRDefault="004B056E"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50002"/>
      <w:docPartObj>
        <w:docPartGallery w:val="Page Numbers (Bottom of Page)"/>
        <w:docPartUnique/>
      </w:docPartObj>
    </w:sdtPr>
    <w:sdtEndPr>
      <w:rPr>
        <w:noProof/>
      </w:rPr>
    </w:sdtEndPr>
    <w:sdtContent>
      <w:p w14:paraId="6D18DA8E" w14:textId="0AF92E49" w:rsidR="000A30FD" w:rsidRDefault="000A30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0A30FD" w:rsidRDefault="000A3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EAD4C" w14:textId="77777777" w:rsidR="004B056E" w:rsidRDefault="004B056E" w:rsidP="005C21DD">
      <w:pPr>
        <w:spacing w:after="0" w:line="240" w:lineRule="auto"/>
      </w:pPr>
      <w:r>
        <w:separator/>
      </w:r>
    </w:p>
  </w:footnote>
  <w:footnote w:type="continuationSeparator" w:id="0">
    <w:p w14:paraId="394D8DDE" w14:textId="77777777" w:rsidR="004B056E" w:rsidRDefault="004B056E"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7B48"/>
    <w:multiLevelType w:val="hybridMultilevel"/>
    <w:tmpl w:val="B7605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65D7D"/>
    <w:multiLevelType w:val="multilevel"/>
    <w:tmpl w:val="A3FC8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3"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573B47E0"/>
    <w:multiLevelType w:val="hybridMultilevel"/>
    <w:tmpl w:val="F4A29D90"/>
    <w:lvl w:ilvl="0" w:tplc="5890E0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6D12F66"/>
    <w:multiLevelType w:val="multilevel"/>
    <w:tmpl w:val="0F383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1692393">
    <w:abstractNumId w:val="2"/>
  </w:num>
  <w:num w:numId="2" w16cid:durableId="903488982">
    <w:abstractNumId w:val="9"/>
  </w:num>
  <w:num w:numId="3" w16cid:durableId="212474302">
    <w:abstractNumId w:val="3"/>
  </w:num>
  <w:num w:numId="4" w16cid:durableId="1442072374">
    <w:abstractNumId w:val="1"/>
  </w:num>
  <w:num w:numId="5" w16cid:durableId="1754935876">
    <w:abstractNumId w:val="4"/>
  </w:num>
  <w:num w:numId="6" w16cid:durableId="422530140">
    <w:abstractNumId w:val="5"/>
  </w:num>
  <w:num w:numId="7" w16cid:durableId="1337920880">
    <w:abstractNumId w:val="0"/>
  </w:num>
  <w:num w:numId="8" w16cid:durableId="1624386909">
    <w:abstractNumId w:val="8"/>
  </w:num>
  <w:num w:numId="9" w16cid:durableId="1366755049">
    <w:abstractNumId w:val="6"/>
  </w:num>
  <w:num w:numId="10" w16cid:durableId="65341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042E30"/>
    <w:rsid w:val="000A30FD"/>
    <w:rsid w:val="001861D9"/>
    <w:rsid w:val="001970BA"/>
    <w:rsid w:val="001B26D9"/>
    <w:rsid w:val="001F472A"/>
    <w:rsid w:val="002E71F7"/>
    <w:rsid w:val="002F30D5"/>
    <w:rsid w:val="00375278"/>
    <w:rsid w:val="00451B19"/>
    <w:rsid w:val="00456429"/>
    <w:rsid w:val="004B056E"/>
    <w:rsid w:val="004C235E"/>
    <w:rsid w:val="004E63D1"/>
    <w:rsid w:val="005303CB"/>
    <w:rsid w:val="00540233"/>
    <w:rsid w:val="00560586"/>
    <w:rsid w:val="005B0B17"/>
    <w:rsid w:val="005C21DD"/>
    <w:rsid w:val="006A18E5"/>
    <w:rsid w:val="006A6825"/>
    <w:rsid w:val="00710510"/>
    <w:rsid w:val="00721307"/>
    <w:rsid w:val="007A626F"/>
    <w:rsid w:val="008973C6"/>
    <w:rsid w:val="00A66663"/>
    <w:rsid w:val="00AA53AD"/>
    <w:rsid w:val="00AE5516"/>
    <w:rsid w:val="00C72605"/>
    <w:rsid w:val="00CF5E05"/>
    <w:rsid w:val="00D2482B"/>
    <w:rsid w:val="00D33595"/>
    <w:rsid w:val="00DB05D8"/>
    <w:rsid w:val="00E00B8E"/>
    <w:rsid w:val="00E423CF"/>
    <w:rsid w:val="00E81AA6"/>
    <w:rsid w:val="00EB0F0D"/>
    <w:rsid w:val="00EC1CF5"/>
    <w:rsid w:val="00ED0768"/>
    <w:rsid w:val="00FA4822"/>
    <w:rsid w:val="00FC5D43"/>
    <w:rsid w:val="00FD698F"/>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1F7"/>
  </w:style>
  <w:style w:type="paragraph" w:styleId="Heading3">
    <w:name w:val="heading 3"/>
    <w:basedOn w:val="Normal"/>
    <w:next w:val="Normal"/>
    <w:link w:val="Heading3Char"/>
    <w:uiPriority w:val="9"/>
    <w:semiHidden/>
    <w:unhideWhenUsed/>
    <w:qFormat/>
    <w:rsid w:val="0054023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042E30"/>
    <w:rPr>
      <w:color w:val="96607D" w:themeColor="followedHyperlink"/>
      <w:u w:val="single"/>
    </w:rPr>
  </w:style>
  <w:style w:type="character" w:styleId="Strong">
    <w:name w:val="Strong"/>
    <w:basedOn w:val="DefaultParagraphFont"/>
    <w:uiPriority w:val="22"/>
    <w:qFormat/>
    <w:rsid w:val="00042E30"/>
    <w:rPr>
      <w:b/>
      <w:bCs/>
    </w:rPr>
  </w:style>
  <w:style w:type="paragraph" w:styleId="Revision">
    <w:name w:val="Revision"/>
    <w:hidden/>
    <w:uiPriority w:val="99"/>
    <w:semiHidden/>
    <w:rsid w:val="00FC5D43"/>
    <w:pPr>
      <w:spacing w:after="0" w:line="240" w:lineRule="auto"/>
    </w:pPr>
  </w:style>
  <w:style w:type="character" w:customStyle="1" w:styleId="Heading3Char">
    <w:name w:val="Heading 3 Char"/>
    <w:basedOn w:val="DefaultParagraphFont"/>
    <w:link w:val="Heading3"/>
    <w:uiPriority w:val="9"/>
    <w:semiHidden/>
    <w:rsid w:val="00540233"/>
    <w:rPr>
      <w:rFonts w:asciiTheme="majorHAnsi" w:eastAsiaTheme="majorEastAsia" w:hAnsiTheme="majorHAnsi" w:cstheme="majorBidi"/>
      <w:color w:val="0A2F40" w:themeColor="accent1" w:themeShade="7F"/>
    </w:rPr>
  </w:style>
  <w:style w:type="paragraph" w:styleId="BalloonText">
    <w:name w:val="Balloon Text"/>
    <w:basedOn w:val="Normal"/>
    <w:link w:val="BalloonTextChar"/>
    <w:uiPriority w:val="99"/>
    <w:semiHidden/>
    <w:unhideWhenUsed/>
    <w:rsid w:val="00E423CF"/>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423C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4468">
      <w:bodyDiv w:val="1"/>
      <w:marLeft w:val="0"/>
      <w:marRight w:val="0"/>
      <w:marTop w:val="0"/>
      <w:marBottom w:val="0"/>
      <w:divBdr>
        <w:top w:val="none" w:sz="0" w:space="0" w:color="auto"/>
        <w:left w:val="none" w:sz="0" w:space="0" w:color="auto"/>
        <w:bottom w:val="none" w:sz="0" w:space="0" w:color="auto"/>
        <w:right w:val="none" w:sz="0" w:space="0" w:color="auto"/>
      </w:divBdr>
    </w:div>
    <w:div w:id="92033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son.org/highway-report/28th-annual-highway-report/" TargetMode="Externa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7</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13</cp:revision>
  <dcterms:created xsi:type="dcterms:W3CDTF">2026-04-10T20:14:00Z</dcterms:created>
  <dcterms:modified xsi:type="dcterms:W3CDTF">2026-06-02T12:14:00Z</dcterms:modified>
</cp:coreProperties>
</file>