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aaa1c4c1d20731bdd63c0afbcf841e6357206d0"/>
    <w:p>
      <w:pPr>
        <w:pStyle w:val="Heading1"/>
      </w:pPr>
      <w:r>
        <w:t xml:space="preserve">Envelhecimento populacional, RGPS e BPC: efeitos sobre o resultado primário e a dívida pública brasileira até 2050</w:t>
      </w:r>
    </w:p>
    <w:p>
      <w:pPr>
        <w:pStyle w:val="FirstParagraph"/>
      </w:pPr>
      <w:r>
        <w:rPr>
          <w:b/>
          <w:bCs/>
        </w:rPr>
        <w:t xml:space="preserve">Resumo.</w:t>
      </w:r>
      <w:r>
        <w:t xml:space="preserve"> </w:t>
      </w:r>
      <w:r>
        <w:t xml:space="preserve">Este artigo investiga como a mudança na estrutura etária da população brasileira pode afetar o resultado do Regime Geral de Previdência Social (RGPS) e do Benefício de Prestação Continuada (BPC), o resultado primário e a trajetória da Dívida Bruta do Governo Geral (DBGG) até 2050. O método é contábil e deliberadamente simples: o número de contribuintes, beneficiários e ocupados em cada ano é obtido multiplicando taxas por sexo e idade, medidas nos dados administrativos da Previdência (AEPS 2024) e na PNAD Contínua, pela população projetada pelo IBGE (revisão 2024). Os parâmetros que mais movem os resultados são estimados com dados: o grau de indexação dos benefícios ao salário mínimo (0,41, a parcela do valor pago a quem recebe um piso), a deriva de composição do benefício médio antes e depois da Emenda Constitucional 103/2019 (+0,9% e −0,3% ao ano) e a tendência das taxas por idade entre 2012 e 2024. O modelo é testado retroativamente: calibrado em 2012, ele reproduz a despesa do RGPS de 2013 a 2024 com erro médio absoluto de 0,23 ponto percentual (p.p.) do PIB. Projetado a partir de 2024, erra 2025 em 0,05 p.p. No cenário central, a relação entre contribuintes e beneficiários do RGPS cai de 1,8 em 2025 para 1,0 em 2050, e o déficit conjunto do RGPS e do BPC passa de 3,5% para 8,2% do PIB. A incerteza sobre juros, crescimento e parâmetros é tratada por 2.000 simulações de Monte Carlo. Se nada for feito, em 92% delas a dívida bruta passa de 100% do PIB em 2035. Em vez de reportar níveis de dívida sem sentido econômico para 2050, o artigo calcula o ajuste primário permanente, a partir de 2027, que devolveria a dívida de 2050 ao nível de 2025: 5,9 p.p. do PIB no cenário central, com mediana de 6,2 p.p. e intervalo de 90% entre 2,2 e 11,4 p.p. nas simulações. Uma decomposição exata atribui 3,3 p.p. desse ajuste aos juros acima do crescimento sobre a dívida já existente, 0,5 p.p. ao déficit primário atual e 2,2 p.p. ao aumento do déficit do RGPS e do BPC. Uma decomposição de Shapley atribui 2,7 p.p. ao envelhecimento, incluindo seu efeito sobre o crescimento do PIB, e 0,7 p.p. ao ganho real do salário mínimo. Produtividade e juro real são as hipóteses que mais alteram o resultado; formalização e taxa de ocupação importam menos do que se costuma supor.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envelhecimento populacional; Previdência Social; RGPS; BPC; sustentabilidade da dívida; Monte Carlo.</w:t>
      </w:r>
    </w:p>
    <w:p>
      <w:pPr>
        <w:pStyle w:val="BodyText"/>
      </w:pPr>
      <w:r>
        <w:rPr>
          <w:b/>
          <w:bCs/>
        </w:rPr>
        <w:t xml:space="preserve">Classificação JEL:</w:t>
      </w:r>
      <w:r>
        <w:t xml:space="preserve"> </w:t>
      </w:r>
      <w:r>
        <w:t xml:space="preserve">H55; H63; H68; J11.</w:t>
      </w:r>
    </w:p>
    <w:p>
      <w:r>
        <w:pict>
          <v:rect style="width:0;height:1.5pt" o:hralign="center" o:hrstd="t" o:hr="t"/>
        </w:pict>
      </w:r>
    </w:p>
    <w:bookmarkStart w:id="9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O Brasil envelhece depressa. Segundo as Projeções da População do IBGE (revisão 2024), a parcela de pessoas com 60 anos ou mais passa de 16,6% em 2025 para 30,0% em 2050, e o número de idosos quase dobra, de 35,4 para 65,6 milhões. A população de 15 a 64 anos atinge seu máximo por volta de 2035 (149,6 milhões) e cai para 138,0 milhões em 2050. Como o RGPS funciona em repartição, com as contribuições de quem trabalha pagando os benefícios de quem se aposentou, essa mudança pressiona diretamente o resultado primário e, por meio dele, a dívida pública.</w:t>
      </w:r>
    </w:p>
    <w:p>
      <w:pPr>
        <w:pStyle w:val="BodyText"/>
      </w:pPr>
      <w:r>
        <w:t xml:space="preserve">A pergunta de pesquisa é:</w:t>
      </w:r>
      <w:r>
        <w:t xml:space="preserve"> </w:t>
      </w:r>
      <w:r>
        <w:rPr>
          <w:b/>
          <w:bCs/>
        </w:rPr>
        <w:t xml:space="preserve">como as mudanças na estrutura etária da população brasileira podem afetar o resultado previdenciário, o gasto público e a trajetória da dívida pública até 2050?</w:t>
      </w:r>
      <w:r>
        <w:t xml:space="preserve"> </w:t>
      </w:r>
      <w:r>
        <w:t xml:space="preserve">Ela se desdobra em quatro questões:</w:t>
      </w:r>
    </w:p>
    <w:p>
      <w:pPr>
        <w:pStyle w:val="Compact"/>
        <w:numPr>
          <w:ilvl w:val="0"/>
          <w:numId w:val="1001"/>
        </w:numPr>
      </w:pPr>
      <w:r>
        <w:t xml:space="preserve">como evoluem a proporção de idosos e a população em idade ativa;</w:t>
      </w:r>
    </w:p>
    <w:p>
      <w:pPr>
        <w:pStyle w:val="Compact"/>
        <w:numPr>
          <w:ilvl w:val="0"/>
          <w:numId w:val="1001"/>
        </w:numPr>
      </w:pPr>
      <w:r>
        <w:t xml:space="preserve">como evoluem os contribuintes, os beneficiários e a arrecadação previdenciária;</w:t>
      </w:r>
    </w:p>
    <w:p>
      <w:pPr>
        <w:pStyle w:val="Compact"/>
        <w:numPr>
          <w:ilvl w:val="0"/>
          <w:numId w:val="1001"/>
        </w:numPr>
      </w:pPr>
      <w:r>
        <w:t xml:space="preserve">como diferentes trajetórias de despesa e receita afetam a necessidade de financiamento do governo;</w:t>
      </w:r>
    </w:p>
    <w:p>
      <w:pPr>
        <w:pStyle w:val="Compact"/>
        <w:numPr>
          <w:ilvl w:val="0"/>
          <w:numId w:val="1001"/>
        </w:numPr>
      </w:pPr>
      <w:r>
        <w:t xml:space="preserve">quanto o crescimento, a produtividade e o emprego formal alteram os resultados.</w:t>
      </w:r>
    </w:p>
    <w:p>
      <w:pPr>
        <w:pStyle w:val="FirstParagraph"/>
      </w:pPr>
      <w:r>
        <w:t xml:space="preserve">O artigo busca responder a essas perguntas com um instrumento que qualquer leitor possa reproduzir numa planilha, mas sem abrir mão de disciplina empírica. Quatro escolhas guiam o trabalho: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Dados oficiais em nível de detalhe.</w:t>
      </w:r>
      <w:r>
        <w:t xml:space="preserve"> </w:t>
      </w:r>
      <w:r>
        <w:t xml:space="preserve">Usam-se a série anual por sexo e idade simples do IBGE e as tabelas do Anuário Estatístico da Previdência Social (AEPS) com benefícios e contribuintes por sexo e grupo de idade, em vez de trajetórias estilizadas.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Parâmetros calibrados, não arbitrados.</w:t>
      </w:r>
      <w:r>
        <w:t xml:space="preserve"> </w:t>
      </w:r>
      <w:r>
        <w:t xml:space="preserve">O grau de indexação dos benefícios, a deriva do benefício médio e a tendência das taxas por idade são medidos nos dados, e o efeito da EC 103/2019 aparece como estimativa (a mudança da deriva antes e depois de 2019), não como premissa.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Validação.</w:t>
      </w:r>
      <w:r>
        <w:t xml:space="preserve"> </w:t>
      </w:r>
      <w:r>
        <w:t xml:space="preserve">O modelo é testado retroativamente (2012–2024) e fora da amostra (2025), e seus resultados são comparados às projeções da LDO 2027 e da Instituição Fiscal Independente (IFI).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Incerteza explícita.</w:t>
      </w:r>
      <w:r>
        <w:t xml:space="preserve"> </w:t>
      </w:r>
      <w:r>
        <w:t xml:space="preserve">A dívida é projetada por Monte Carlo, com juros e crescimento aleatórios, prêmio de risco dependente da dívida e uma variante com reação fiscal. O resultado principal é o ajuste primário necessário, e não um nível de dívida em 2050, que sem reação da política deixa de ter significado econômico.</w:t>
      </w:r>
    </w:p>
    <w:p>
      <w:pPr>
        <w:pStyle w:val="FirstParagraph"/>
      </w:pPr>
      <w:r>
        <w:t xml:space="preserve">O escopo fiscal é o RGPS e o BPC, que em 2025 somaram 9,1% do PIB de despesa. Os regimes próprios dos servidores (RPPS) e a saúde ficam fora do modelo; a Seção 6 discute o que isso implica.</w:t>
      </w:r>
    </w:p>
    <w:bookmarkEnd w:id="9"/>
    <w:bookmarkStart w:id="10" w:name="literatura"/>
    <w:p>
      <w:pPr>
        <w:pStyle w:val="Heading2"/>
      </w:pPr>
      <w:r>
        <w:t xml:space="preserve">2. Literatura</w:t>
      </w:r>
    </w:p>
    <w:p>
      <w:pPr>
        <w:pStyle w:val="FirstParagraph"/>
      </w:pPr>
      <w:r>
        <w:rPr>
          <w:b/>
          <w:bCs/>
        </w:rPr>
        <w:t xml:space="preserve">Sustentabilidade da dívida.</w:t>
      </w:r>
      <w:r>
        <w:t xml:space="preserve"> </w:t>
      </w:r>
      <w:r>
        <w:t xml:space="preserve">A literatura oferece dois critérios complementares. O primeiro é contábil: a dívida em proporção do PIB se estabiliza quando o superávit primário iguala a dívida multiplicada pela diferença entre juro real e crescimento real. Daí vem a noção de</w:t>
      </w:r>
      <w:r>
        <w:t xml:space="preserve"> </w:t>
      </w:r>
      <w:r>
        <w:t xml:space="preserve">“hiato”</w:t>
      </w:r>
      <w:r>
        <w:t xml:space="preserve"> </w:t>
      </w:r>
      <w:r>
        <w:t xml:space="preserve">ou ajuste necessário para atingir uma meta de dívida em certo horizonte (Blanchard</w:t>
      </w:r>
      <w:r>
        <w:t xml:space="preserve"> </w:t>
      </w:r>
      <w:r>
        <w:rPr>
          <w:i/>
          <w:iCs/>
        </w:rPr>
        <w:t xml:space="preserve">et al.</w:t>
      </w:r>
      <w:r>
        <w:t xml:space="preserve">, 1990), usada neste artigo. O segundo é comportamental: Bohn (1998) mostra que a dívida é sustentável se o resultado primário responde positivamente ao nível da dívida. Essa</w:t>
      </w:r>
      <w:r>
        <w:t xml:space="preserve"> </w:t>
      </w:r>
      <w:r>
        <w:t xml:space="preserve">“função de reação”</w:t>
      </w:r>
      <w:r>
        <w:t xml:space="preserve"> </w:t>
      </w:r>
      <w:r>
        <w:t xml:space="preserve">foi estimada para painéis de países (Mendoza e Ostry, 2008), com limites de</w:t>
      </w:r>
      <w:r>
        <w:t xml:space="preserve"> </w:t>
      </w:r>
      <w:r>
        <w:t xml:space="preserve">“fadiga fiscal”</w:t>
      </w:r>
      <w:r>
        <w:t xml:space="preserve"> </w:t>
      </w:r>
      <w:r>
        <w:t xml:space="preserve">a partir de certos níveis de endividamento (Ghosh</w:t>
      </w:r>
      <w:r>
        <w:t xml:space="preserve"> </w:t>
      </w:r>
      <w:r>
        <w:rPr>
          <w:i/>
          <w:iCs/>
        </w:rPr>
        <w:t xml:space="preserve">et al.</w:t>
      </w:r>
      <w:r>
        <w:t xml:space="preserve">, 2013), e para o Brasil (Mello, 2008). Blanchard (2019) lembra que, quando o juro real é menor que o crescimento (r &lt; g), dívidas elevadas podem ter custo fiscal baixo. No Brasil ocorre o oposto: de 2007 a 2025 o custo real implícito da Dívida Pública Federal foi, em média, 5,1% ao ano, e o PIB cresceu 2,0% ao ano. Laubach (2009) estima que cada ponto percentual de dívida/PIB eleva os juros de longo prazo em cerca de 3 a 4 pontos-base, efeito usado aqui para calibrar o prêmio de risco. Celasun, Debrun e Ostry (2006) propõem os gráficos em leque (</w:t>
      </w:r>
      <w:r>
        <w:rPr>
          <w:i/>
          <w:iCs/>
        </w:rPr>
        <w:t xml:space="preserve">fan charts</w:t>
      </w:r>
      <w:r>
        <w:t xml:space="preserve">) estocásticos para avaliar riscos de sustentabilidade em economias emergentes, abordagem seguida na Seção 5.5.</w:t>
      </w:r>
    </w:p>
    <w:p>
      <w:pPr>
        <w:pStyle w:val="BodyText"/>
      </w:pPr>
      <w:r>
        <w:rPr>
          <w:b/>
          <w:bCs/>
        </w:rPr>
        <w:t xml:space="preserve">Envelhecimento, crescimento e contas públicas.</w:t>
      </w:r>
      <w:r>
        <w:t xml:space="preserve"> </w:t>
      </w:r>
      <w:r>
        <w:t xml:space="preserve">O envelhecimento afeta as contas públicas por dois canais. O primeiro, direto, é o aumento do número de beneficiários relativamente ao de contribuintes. O segundo, menos lembrado, é o efeito sobre o crescimento: menos pessoas em idade ativa significam menos trabalho e, possivelmente, menor produtividade (Bloom, Canning e Fink, 2010; Maestas, Mullen e Powell, 2023). Lee e Mason (2011) oferecem o arcabouço das contas nacionais de transferência que fundamenta a ideia de medir perfis etários de consumo, renda e transferências. No Brasil, Giambiagi e Tafner (2010) e Camarano (2014) documentam a velocidade da transição demográfica e suas consequências previdenciárias.</w:t>
      </w:r>
    </w:p>
    <w:p>
      <w:pPr>
        <w:pStyle w:val="BodyText"/>
      </w:pPr>
      <w:r>
        <w:rPr>
          <w:b/>
          <w:bCs/>
        </w:rPr>
        <w:t xml:space="preserve">Projeções oficiais.</w:t>
      </w:r>
      <w:r>
        <w:t xml:space="preserve"> </w:t>
      </w:r>
      <w:r>
        <w:t xml:space="preserve">A avaliação atuarial do RGPS que acompanha o Projeto de Lei de Diretrizes Orçamentárias de 2027 (PLDO 2027, Anexo IV.10) projeta despesa de 10,2% do PIB em 2050, receita de 6,4% e necessidade de financiamento de 3,8%. A IFI (RAF nº 112, maio de 2026) projeta despesa de 9,1% do PIB em 2030 e receita de 5,5% do PIB em 2030, 0,6 p.p. abaixo da estimativa do Executivo. Este artigo não pretende substituir modelos atuariais completos, que acompanham coortes de segurados e regras de cálculo de cada benefício. O objetivo é oferecer uma aproximação transparente, validada contra os dados e contra essas projeções, e que liga explicitamente a Previdência à dívida.</w:t>
      </w:r>
    </w:p>
    <w:bookmarkEnd w:id="10"/>
    <w:bookmarkStart w:id="11" w:name="dados"/>
    <w:p>
      <w:pPr>
        <w:pStyle w:val="Heading2"/>
      </w:pPr>
      <w:r>
        <w:t xml:space="preserve">3. Dados</w:t>
      </w:r>
    </w:p>
    <w:p>
      <w:pPr>
        <w:pStyle w:val="FirstParagraph"/>
      </w:pPr>
      <w:r>
        <w:t xml:space="preserve">Todas as séries vêm de fontes oficiais públicas. A Tabela 1 resume o uso de cada uma; os scripts de download e preparação estão no apêndice.</w:t>
      </w:r>
    </w:p>
    <w:p>
      <w:pPr>
        <w:pStyle w:val="BodyText"/>
      </w:pPr>
      <w:r>
        <w:rPr>
          <w:b/>
          <w:bCs/>
        </w:rPr>
        <w:t xml:space="preserve">Tabela 1 – Fontes de dados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População por sexo e idade simples, 2000–2070</w:t>
            </w:r>
          </w:p>
        </w:tc>
        <w:tc>
          <w:tcPr/>
          <w:p>
            <w:pPr>
              <w:pStyle w:val="Compact"/>
            </w:pPr>
            <w:r>
              <w:t xml:space="preserve">IBGE, Projeções da População, revisão 2024</w:t>
            </w:r>
          </w:p>
        </w:tc>
        <w:tc>
          <w:tcPr/>
          <w:p>
            <w:pPr>
              <w:pStyle w:val="Compact"/>
            </w:pPr>
            <w:r>
              <w:t xml:space="preserve">Tabela 1 (idade simples), Brasil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Benefícios ativos por sexo e grupo de idade (RGPS sem pensões, BPC idoso, BPC deficiência), dez. 2010–2012 e 2022–2024</w:t>
            </w:r>
          </w:p>
        </w:tc>
        <w:tc>
          <w:tcPr/>
          <w:p>
            <w:pPr>
              <w:pStyle w:val="Compact"/>
            </w:pPr>
            <w:r>
              <w:t xml:space="preserve">AEPS 2012 e AEPS 2024</w:t>
            </w:r>
          </w:p>
        </w:tc>
        <w:tc>
          <w:tcPr/>
          <w:p>
            <w:pPr>
              <w:pStyle w:val="Compact"/>
            </w:pPr>
            <w:r>
              <w:t xml:space="preserve">Tabelas C.5, 19.2 e 19.3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Pensões por morte por sexo e idade do dependente</w:t>
            </w:r>
          </w:p>
        </w:tc>
        <w:tc>
          <w:tcPr/>
          <w:p>
            <w:pPr>
              <w:pStyle w:val="Compact"/>
            </w:pPr>
            <w:r>
              <w:t xml:space="preserve">AEPS 2012 e 2024</w:t>
            </w:r>
          </w:p>
        </w:tc>
        <w:tc>
          <w:tcPr/>
          <w:p>
            <w:pPr>
              <w:pStyle w:val="Compact"/>
            </w:pPr>
            <w:r>
              <w:t xml:space="preserve">Tabelas 15.2 e 15.4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Contribuintes (número médio mensal) por sexo e idade</w:t>
            </w:r>
          </w:p>
        </w:tc>
        <w:tc>
          <w:tcPr/>
          <w:p>
            <w:pPr>
              <w:pStyle w:val="Compact"/>
            </w:pPr>
            <w:r>
              <w:t xml:space="preserve">AEPS 2012 e 2024</w:t>
            </w:r>
          </w:p>
        </w:tc>
        <w:tc>
          <w:tcPr/>
          <w:p>
            <w:pPr>
              <w:pStyle w:val="Compact"/>
            </w:pPr>
            <w:r>
              <w:t xml:space="preserve">Tabela 32.3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Benefícios ativos e valor, dez. 2011–2024</w:t>
            </w:r>
          </w:p>
        </w:tc>
        <w:tc>
          <w:tcPr/>
          <w:p>
            <w:pPr>
              <w:pStyle w:val="Compact"/>
            </w:pPr>
            <w:r>
              <w:t xml:space="preserve">AEPS, suplemento histórico 2023 e AEPS 2024</w:t>
            </w:r>
          </w:p>
        </w:tc>
        <w:tc>
          <w:tcPr/>
          <w:p>
            <w:pPr>
              <w:pStyle w:val="Compact"/>
            </w:pPr>
            <w:r>
              <w:t xml:space="preserve">Tabelas 1.25, 1.26, C.1 e C.2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pago a quem recebe exatamente um piso</w:t>
            </w:r>
          </w:p>
        </w:tc>
        <w:tc>
          <w:tcPr/>
          <w:p>
            <w:pPr>
              <w:pStyle w:val="Compact"/>
            </w:pPr>
            <w:r>
              <w:t xml:space="preserve">AEPS 2012 e 2024</w:t>
            </w:r>
          </w:p>
        </w:tc>
        <w:tc>
          <w:tcPr/>
          <w:p>
            <w:pPr>
              <w:pStyle w:val="Compact"/>
            </w:pPr>
            <w:r>
              <w:t xml:space="preserve">Tabela B.23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e despesa do RGPS, despesa do BPC, % do PIB, 1997–2025</w:t>
            </w:r>
          </w:p>
        </w:tc>
        <w:tc>
          <w:tcPr/>
          <w:p>
            <w:pPr>
              <w:pStyle w:val="Compact"/>
            </w:pPr>
            <w:r>
              <w:t xml:space="preserve">Tesouro Nacional, Resultado do Tesouro Nacional</w:t>
            </w:r>
          </w:p>
        </w:tc>
        <w:tc>
          <w:tcPr/>
          <w:p>
            <w:pPr>
              <w:pStyle w:val="Compact"/>
            </w:pPr>
            <w:r>
              <w:t xml:space="preserve">Tabela 2.1-A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DBGG, resultado primário e nominal do setor público, PIB</w:t>
            </w:r>
          </w:p>
        </w:tc>
        <w:tc>
          <w:tcPr/>
          <w:p>
            <w:pPr>
              <w:pStyle w:val="Compact"/>
            </w:pPr>
            <w:r>
              <w:t xml:space="preserve">BCB, SGS</w:t>
            </w:r>
          </w:p>
        </w:tc>
        <w:tc>
          <w:tcPr/>
          <w:p>
            <w:pPr>
              <w:pStyle w:val="Compact"/>
            </w:pPr>
            <w:r>
              <w:t xml:space="preserve">Séries 13762, 5793, 5727, 4382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IPCA, crescimento real do PIB, salário mínimo</w:t>
            </w:r>
          </w:p>
        </w:tc>
        <w:tc>
          <w:tcPr/>
          <w:p>
            <w:pPr>
              <w:pStyle w:val="Compact"/>
            </w:pPr>
            <w:r>
              <w:t xml:space="preserve">BCB, SGS</w:t>
            </w:r>
          </w:p>
        </w:tc>
        <w:tc>
          <w:tcPr/>
          <w:p>
            <w:pPr>
              <w:pStyle w:val="Compact"/>
            </w:pPr>
            <w:r>
              <w:t xml:space="preserve">Séries 433, 7326, 1619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Juros apropriados e estoque da Dívida Pública Federal</w:t>
            </w:r>
          </w:p>
        </w:tc>
        <w:tc>
          <w:tcPr/>
          <w:p>
            <w:pPr>
              <w:pStyle w:val="Compact"/>
            </w:pPr>
            <w:r>
              <w:t xml:space="preserve">Tesouro Nacional</w:t>
            </w:r>
          </w:p>
        </w:tc>
        <w:tc>
          <w:tcPr/>
          <w:p>
            <w:pPr>
              <w:pStyle w:val="Compact"/>
            </w:pPr>
            <w:r>
              <w:t xml:space="preserve">Fatores de variação da DPF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Ocupação e informalidade por grupo de idade, 2012–2025</w:t>
            </w:r>
          </w:p>
        </w:tc>
        <w:tc>
          <w:tcPr/>
          <w:p>
            <w:pPr>
              <w:pStyle w:val="Compact"/>
            </w:pPr>
            <w:r>
              <w:t xml:space="preserve">IBGE, PNAD Contínua</w:t>
            </w:r>
          </w:p>
        </w:tc>
        <w:tc>
          <w:tcPr/>
          <w:p>
            <w:pPr>
              <w:pStyle w:val="Compact"/>
            </w:pPr>
            <w:r>
              <w:t xml:space="preserve">SIDRA, tabela 4094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Projeções oficiais</w:t>
            </w:r>
          </w:p>
        </w:tc>
        <w:tc>
          <w:tcPr/>
          <w:p>
            <w:pPr>
              <w:pStyle w:val="Compact"/>
            </w:pPr>
            <w:r>
              <w:t xml:space="preserve">PLDO 2027, Anexos IV.10 (RGPS) e IV.11 (RPPS da União); IFI, RAF nº 112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Três números de 2024 servem de ponto de partida e de verificação: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Benefícios.</w:t>
      </w:r>
      <w:r>
        <w:t xml:space="preserve"> </w:t>
      </w:r>
      <w:r>
        <w:t xml:space="preserve">Em dezembro de 2024, o INSS mantinha 40,6 milhões de benefícios ativos. Desses,</w:t>
      </w:r>
      <w:r>
        <w:t xml:space="preserve"> </w:t>
      </w:r>
      <w:r>
        <w:rPr>
          <w:b/>
          <w:bCs/>
        </w:rPr>
        <w:t xml:space="preserve">34,2 milhões eram do RGPS</w:t>
      </w:r>
      <w:r>
        <w:t xml:space="preserve"> </w:t>
      </w:r>
      <w:r>
        <w:t xml:space="preserve">(23,4 milhões de aposentadorias, 8,4 milhões de pensões e 2,4 milhões de auxílios e outros) e 6,4 milhões eram assistenciais (BPC e RMV). A população com 60 anos ou mais era de 34,2 milhões. A coincidência é apenas aparente: 20% dos benefícios do RGPS (6,9 milhões, pelas Tabelas C.5, 15.2, 15.4 e 19.2 do AEPS) são pagos a pessoas com menos de 60 anos, como pensionistas jovens, aposentados por incapacidade e aposentados precoces por tempo de contribuição; e há idosos sem benefício e idosos que acumulam dois (por exemplo, aposentadoria e pensão). Por isso, o modelo não usa um corte etário único: trabalha com o perfil completo por sexo e idade (Seção 4.1).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Contribuintes.</w:t>
      </w:r>
      <w:r>
        <w:t xml:space="preserve"> </w:t>
      </w:r>
      <w:r>
        <w:t xml:space="preserve">Em média, 62,2 milhões de pessoas contribuíram por mês para o RGPS em 2024.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Contas.</w:t>
      </w:r>
      <w:r>
        <w:t xml:space="preserve"> </w:t>
      </w:r>
      <w:r>
        <w:t xml:space="preserve">Em 2025, a despesa do RGPS foi de 8,06% do PIB, a receita de 5,57% e a despesa com BPC e RMV de 1,00%. A DBGG terminou 2025 em 78,6% do PIB, e o setor público teve déficit primário de 0,43% do PIB.</w:t>
      </w:r>
    </w:p>
    <w:bookmarkEnd w:id="11"/>
    <w:bookmarkStart w:id="18" w:name="método"/>
    <w:p>
      <w:pPr>
        <w:pStyle w:val="Heading2"/>
      </w:pPr>
      <w:r>
        <w:t xml:space="preserve">4. Método</w:t>
      </w:r>
    </w:p>
    <w:bookmarkStart w:id="12" w:name="Xa16960666e00318d084dd5bda7152bad97a0239"/>
    <w:p>
      <w:pPr>
        <w:pStyle w:val="Heading3"/>
      </w:pPr>
      <w:r>
        <w:t xml:space="preserve">4.1 A regra única: taxa por idade × população por idade</w:t>
      </w:r>
    </w:p>
    <w:p>
      <w:pPr>
        <w:pStyle w:val="FirstParagraph"/>
      </w:pPr>
      <w:r>
        <w:t xml:space="preserve">Todas as quantidades de pessoas saem de uma só regra:</w:t>
      </w:r>
    </w:p>
    <w:p>
      <w:pPr>
        <w:pStyle w:val="BlockText"/>
      </w:pPr>
      <w:r>
        <w:rPr>
          <w:b/>
          <w:bCs/>
        </w:rPr>
        <w:t xml:space="preserve">número de pessoas numa situação = taxa por sexo e idade × população daquele sexo e idade</w:t>
      </w:r>
    </w:p>
    <w:p>
      <w:pPr>
        <w:pStyle w:val="FirstParagraph"/>
      </w:pPr>
      <w:r>
        <w:t xml:space="preserve">A regra é aplicada a cinco situações: receber benefício do RGPS (exceto pensão), receber pensão por morte, receber BPC, contribuir para o RGPS e estar ocupado. As quatro primeiras taxas são calculadas com o AEPS; a ocupação, com a PNAD. Por exemplo, em 2024, 59,6% das mulheres de 65 a 69 anos recebiam algum benefício do RGPS que não pensão, e 45,2% das mulheres de 25 a 29 anos contribuíam para o RGPS. Multiplicando cada taxa pela população projetada do mesmo sexo e grupo de idade e somando, obtém-se o total de beneficiários ou contribuintes em cada ano.</w:t>
      </w:r>
    </w:p>
    <w:p>
      <w:pPr>
        <w:pStyle w:val="BodyText"/>
      </w:pPr>
      <w:r>
        <w:t xml:space="preserve">Essa regra resolve a mistura de cortes etários que um indicador simples introduz. O texto usa três cortes, cada um com uma função: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60 anos ou mais</w:t>
      </w:r>
      <w:r>
        <w:t xml:space="preserve"> </w:t>
      </w:r>
      <w:r>
        <w:t xml:space="preserve">para descrever o envelhecimento, por ser a definição legal de pessoa idosa no Brasil;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65+ sobre 15–64 anos</w:t>
      </w:r>
      <w:r>
        <w:t xml:space="preserve"> </w:t>
      </w:r>
      <w:r>
        <w:t xml:space="preserve">como razão de dependência, por ser o padrão internacional comparável;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idade mínima de aposentadoria da EC 103/2019</w:t>
      </w:r>
      <w:r>
        <w:t xml:space="preserve"> </w:t>
      </w:r>
      <w:r>
        <w:t xml:space="preserve">(62 anos para mulheres, 65 para homens) para uma razão de dependência</w:t>
      </w:r>
      <w:r>
        <w:t xml:space="preserve"> </w:t>
      </w:r>
      <w:r>
        <w:t xml:space="preserve">“legal”</w:t>
      </w:r>
      <w:r>
        <w:t xml:space="preserve">.</w:t>
      </w:r>
    </w:p>
    <w:p>
      <w:pPr>
        <w:pStyle w:val="FirstParagraph"/>
      </w:pPr>
      <w:r>
        <w:t xml:space="preserve">O modelo, porém, não depende de nenhum desses cortes: usa todas as idades.</w:t>
      </w:r>
    </w:p>
    <w:bookmarkEnd w:id="12"/>
    <w:bookmarkStart w:id="13" w:name="X2b00a4f109bf71ac493ea66d682097577f4c6aa"/>
    <w:p>
      <w:pPr>
        <w:pStyle w:val="Heading3"/>
      </w:pPr>
      <w:r>
        <w:t xml:space="preserve">4.2 Da contagem de pessoas às contas em % do PIB</w:t>
      </w:r>
    </w:p>
    <w:p>
      <w:pPr>
        <w:pStyle w:val="FirstParagraph"/>
      </w:pPr>
      <w:r>
        <w:t xml:space="preserve">Com as quantidades em mãos, as contas são expressas em proporção do PIB, sempre a partir do valor observado no ano-base: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PIB real</w:t>
      </w:r>
      <w:r>
        <w:t xml:space="preserve"> </w:t>
      </w:r>
      <w:r>
        <w:t xml:space="preserve">= ocupados × produtividade do trabalho.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Despesa do RGPS</w:t>
      </w:r>
      <w:r>
        <w:t xml:space="preserve"> </w:t>
      </w:r>
      <w:r>
        <w:t xml:space="preserve">cresce com o número de benefícios (pensões e demais, ponderados pelo seu peso no valor pago) e com o benefício médio real, e cai com o PIB.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Receita do RGPS</w:t>
      </w:r>
      <w:r>
        <w:t xml:space="preserve"> </w:t>
      </w:r>
      <w:r>
        <w:t xml:space="preserve">cresce com o número de contribuintes e com o salário real, e cai com o PIB. Supõe-se que o salário médio real acompanha a produtividade.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Despesa com BPC</w:t>
      </w:r>
      <w:r>
        <w:t xml:space="preserve"> </w:t>
      </w:r>
      <w:r>
        <w:t xml:space="preserve">cresce com o número de beneficiários e com o salário mínimo real (o BPC vale um salário mínimo), e cai com o PIB.</w:t>
      </w:r>
    </w:p>
    <w:p>
      <w:pPr>
        <w:pStyle w:val="FirstParagraph"/>
      </w:pPr>
      <w:r>
        <w:t xml:space="preserve">Uma consequência importante, e uma</w:t>
      </w:r>
      <w:r>
        <w:t xml:space="preserve"> </w:t>
      </w:r>
      <w:r>
        <w:rPr>
          <w:b/>
          <w:bCs/>
        </w:rPr>
        <w:t xml:space="preserve">hipótese, não um achado</w:t>
      </w:r>
      <w:r>
        <w:t xml:space="preserve">, é que a receita em proporção do PIB só muda por dois motivos: porque a razão entre contribuintes e ocupados muda (as duas taxas têm perfis etários diferentes, e o envelhecimento desloca pessoas para idades em que se contribui menos) ou porque a formalização muda. Se a participação dos salários no PIB mudasse, a receita mudaria também, mas o modelo não trata disso. A Seção 6 volta ao ponto.</w:t>
      </w:r>
    </w:p>
    <w:bookmarkEnd w:id="13"/>
    <w:bookmarkStart w:id="14" w:name="como-cada-parâmetro-foi-calibrado"/>
    <w:p>
      <w:pPr>
        <w:pStyle w:val="Heading3"/>
      </w:pPr>
      <w:r>
        <w:t xml:space="preserve">4.3 Como cada parâmetro foi calibrado</w:t>
      </w:r>
    </w:p>
    <w:p>
      <w:pPr>
        <w:pStyle w:val="FirstParagraph"/>
      </w:pPr>
      <w:r>
        <w:rPr>
          <w:b/>
          <w:bCs/>
        </w:rPr>
        <w:t xml:space="preserve">Grau de indexação ao salário mínimo (φ = 0,41).</w:t>
      </w:r>
      <w:r>
        <w:t xml:space="preserve"> </w:t>
      </w:r>
      <w:r>
        <w:t xml:space="preserve">Benefícios de um piso são reajustados pelo salário mínimo; os demais, pela inflação. O benefício médio, portanto, recebe uma fração dos ganhos reais do mínimo igual à parcela do valor pago a quem recebe exatamente um piso. Pela Tabela B.23 do AEPS, retirados os assistenciais, essa parcela foi de 0,40 a 0,42 entre 2011 e 2024. Usa-se a média, 0,41.</w:t>
      </w:r>
    </w:p>
    <w:p>
      <w:pPr>
        <w:pStyle w:val="BodyText"/>
      </w:pPr>
      <w:r>
        <w:rPr>
          <w:b/>
          <w:bCs/>
        </w:rPr>
        <w:t xml:space="preserve">Deriva de composição do benefício médio (α).</w:t>
      </w:r>
      <w:r>
        <w:t xml:space="preserve"> </w:t>
      </w:r>
      <w:r>
        <w:t xml:space="preserve">Além do piso, o benefício médio muda porque os benefícios que entram têm valor diferente dos que saem. Essa deriva é medida como a parte do crescimento real do benefício médio do RGPS que não se explica pelo salário mínimo. Entre 2012 e 2019 ela foi de</w:t>
      </w:r>
      <w:r>
        <w:t xml:space="preserve"> </w:t>
      </w:r>
      <w:r>
        <w:rPr>
          <w:b/>
          <w:bCs/>
        </w:rPr>
        <w:t xml:space="preserve">+0,89% ao ano</w:t>
      </w:r>
      <w:r>
        <w:t xml:space="preserve">; entre 2019 e 2024, após a EC 103/2019, que reduziu o valor dos benefícios novos, foi de</w:t>
      </w:r>
      <w:r>
        <w:t xml:space="preserve"> </w:t>
      </w:r>
      <w:r>
        <w:rPr>
          <w:b/>
          <w:bCs/>
        </w:rPr>
        <w:t xml:space="preserve">−0,34% ao ano</w:t>
      </w:r>
      <w:r>
        <w:t xml:space="preserve">. A mesma mudança aparece quando o benefício médio é calculado com a despesa do Tesouro (+1,1% e −0,3% ao ano). O cenário central usa o valor pós-reforma. É assim que o efeito da reforma entra no modelo: como estimativa, e não como premissa.</w:t>
      </w:r>
    </w:p>
    <w:p>
      <w:pPr>
        <w:pStyle w:val="BodyText"/>
      </w:pPr>
      <w:r>
        <w:rPr>
          <w:b/>
          <w:bCs/>
        </w:rPr>
        <w:t xml:space="preserve">Tendência das taxas por idade.</w:t>
      </w:r>
      <w:r>
        <w:t xml:space="preserve"> </w:t>
      </w:r>
      <w:r>
        <w:t xml:space="preserve">Entre 2012 e 2024, as taxas de benefício caíram nas idades de 45 a 64 anos (efeito das idades mínimas e da reforma de 2015 nas pensões) e subiram levemente acima de 65 anos. As pensões femininas caíram de 2% a 3% ao ano em quase todas as idades adultas. O cenário central prolonga essas variações por sexo e idade, com intensidade que diminui linearmente até zero em 2050. As simulações de Monte Carlo sorteiam a intensidade entre zero (taxas de 2024 constantes) e 1,5 vez a tendência observada.</w:t>
      </w:r>
    </w:p>
    <w:p>
      <w:pPr>
        <w:pStyle w:val="BodyText"/>
      </w:pPr>
      <w:r>
        <w:rPr>
          <w:b/>
          <w:bCs/>
        </w:rPr>
        <w:t xml:space="preserve">Regra do salário mínimo.</w:t>
      </w:r>
      <w:r>
        <w:t xml:space="preserve"> </w:t>
      </w:r>
      <w:r>
        <w:t xml:space="preserve">O ganho real do mínimo é o crescimento do PIB de dois anos antes, limitado entre 0,6% e 2,5% ao ano, regra em vigor desde 2025. Os reajustes de 2025 e 2026 (R$ 1.518 e R$ 1.621) são os observados.</w:t>
      </w:r>
    </w:p>
    <w:p>
      <w:pPr>
        <w:pStyle w:val="BodyText"/>
      </w:pPr>
      <w:r>
        <w:rPr>
          <w:b/>
          <w:bCs/>
        </w:rPr>
        <w:t xml:space="preserve">Produtividade do trabalho.</w:t>
      </w:r>
      <w:r>
        <w:t xml:space="preserve"> </w:t>
      </w:r>
      <w:r>
        <w:t xml:space="preserve">Entre 2013 e 2025, o PIB por ocupado ficou praticamente estagnado (média de +0,07% ao ano). A premissa oficial implícita na LDO 2027 é mais otimista. O cenário central usa 1,0% ao ano, e as simulações sorteiam entre 0% e 2%.</w:t>
      </w:r>
    </w:p>
    <w:p>
      <w:pPr>
        <w:pStyle w:val="BodyText"/>
      </w:pPr>
      <w:r>
        <w:rPr>
          <w:b/>
          <w:bCs/>
        </w:rPr>
        <w:t xml:space="preserve">Juro real.</w:t>
      </w:r>
      <w:r>
        <w:t xml:space="preserve"> </w:t>
      </w:r>
      <w:r>
        <w:t xml:space="preserve">O custo real implícito da Dívida Pública Federal (juros apropriados divididos pelo estoque do início do ano, deflacionados pelo IPCA) teve média de 5,05% entre 2007 e 2025, com desvio-padrão de 1,95 p.p.; em 2025, foi de 7,45%. O cenário central usa a média histórica.</w:t>
      </w:r>
    </w:p>
    <w:p>
      <w:pPr>
        <w:pStyle w:val="BodyText"/>
      </w:pPr>
      <w:r>
        <w:rPr>
          <w:b/>
          <w:bCs/>
        </w:rPr>
        <w:t xml:space="preserve">Reação fiscal.</w:t>
      </w:r>
      <w:r>
        <w:t xml:space="preserve"> </w:t>
      </w:r>
      <w:r>
        <w:t xml:space="preserve">Uma regressão do resultado primário do setor público sobre a dívida do ano anterior e o crescimento, com dados de 2007 a 2025 (exceto 2020), resulta em coeficiente de</w:t>
      </w:r>
      <w:r>
        <w:t xml:space="preserve"> </w:t>
      </w:r>
      <w:r>
        <w:rPr>
          <w:b/>
          <w:bCs/>
        </w:rPr>
        <w:t xml:space="preserve">−0,09</w:t>
      </w:r>
      <w:r>
        <w:t xml:space="preserve"> </w:t>
      </w:r>
      <w:r>
        <w:t xml:space="preserve">(erro-padrão 0,03). Não há, portanto, evidência de que o resultado primário tenha reagido de forma estabilizadora à dívida nesse período. A projeção central supõe, por isso, que não há reação. Uma variante ilustrativa usa reação de 0,05, isto é, um aumento de 0,05 p.p. do primário para cada 1 p.p. de dívida acima do nível de 2025.</w:t>
      </w:r>
    </w:p>
    <w:bookmarkEnd w:id="14"/>
    <w:bookmarkStart w:id="15" w:name="X9e21262c91335e77f8e9a8f1593d97948689777"/>
    <w:p>
      <w:pPr>
        <w:pStyle w:val="Heading3"/>
      </w:pPr>
      <w:r>
        <w:t xml:space="preserve">4.4 Dívida, juros e necessidade de financiamento</w:t>
      </w:r>
    </w:p>
    <w:p>
      <w:pPr>
        <w:pStyle w:val="FirstParagraph"/>
      </w:pPr>
      <w:r>
        <w:t xml:space="preserve">A dívida evolui pela regra contábil usual:</w:t>
      </w:r>
    </w:p>
    <w:p>
      <w:pPr>
        <w:pStyle w:val="BlockText"/>
      </w:pPr>
      <w:r>
        <w:rPr>
          <w:b/>
          <w:bCs/>
        </w:rPr>
        <w:t xml:space="preserve">dívida (t) = dívida (t−1) × (1 + juro real) / (1 + crescimento real) − resultado primário (t)</w:t>
      </w:r>
    </w:p>
    <w:p>
      <w:pPr>
        <w:pStyle w:val="FirstParagraph"/>
      </w:pPr>
      <w:r>
        <w:t xml:space="preserve">O resultado primário parte do observado em 2025 (−0,43% do PIB) e muda apenas com o déficit do RGPS e do BPC, somado a eventual reação ou ajuste. Isola-se, assim, a pressão que vem da Previdência e da assistência. Os juros nominais são obtidos com inflação na meta (3%).</w:t>
      </w:r>
    </w:p>
    <w:p>
      <w:pPr>
        <w:pStyle w:val="BodyText"/>
      </w:pPr>
      <w:r>
        <w:t xml:space="preserve">Chama-se aqui de</w:t>
      </w:r>
      <w:r>
        <w:t xml:space="preserve"> </w:t>
      </w:r>
      <w:r>
        <w:rPr>
          <w:b/>
          <w:bCs/>
        </w:rPr>
        <w:t xml:space="preserve">necessidade de financiamento</w:t>
      </w:r>
      <w:r>
        <w:t xml:space="preserve"> </w:t>
      </w:r>
      <w:r>
        <w:t xml:space="preserve">o déficit nominal do setor público (NFSP), isto é,</w:t>
      </w:r>
      <w:r>
        <w:t xml:space="preserve"> </w:t>
      </w:r>
      <w:r>
        <w:rPr>
          <w:b/>
          <w:bCs/>
        </w:rPr>
        <w:t xml:space="preserve">juros nominais mais déficit primário</w:t>
      </w:r>
      <w:r>
        <w:t xml:space="preserve">. Esse é o volume de dívida nova que o governo emite a cada ano</w:t>
      </w:r>
      <w:r>
        <w:t xml:space="preserve"> </w:t>
      </w:r>
      <w:r>
        <w:rPr>
          <w:i/>
          <w:iCs/>
        </w:rPr>
        <w:t xml:space="preserve">além</w:t>
      </w:r>
      <w:r>
        <w:t xml:space="preserve"> </w:t>
      </w:r>
      <w:r>
        <w:t xml:space="preserve">daquela emitida para rolar os vencimentos, que o modelo não trata.</w:t>
      </w:r>
    </w:p>
    <w:p>
      <w:pPr>
        <w:pStyle w:val="BodyText"/>
      </w:pPr>
      <w:r>
        <w:t xml:space="preserve">Quando a dívida cresce, os credores tendem a exigir juros maiores. Essa retroalimentação é incorporada com um prêmio de 0 a 4 pontos-base de juro por ponto de dívida acima do nível de 2025, faixa que parte das estimativas de Laubach (2009).</w:t>
      </w:r>
    </w:p>
    <w:bookmarkEnd w:id="15"/>
    <w:bookmarkStart w:id="16" w:name="incerteza-monte-carlo"/>
    <w:p>
      <w:pPr>
        <w:pStyle w:val="Heading3"/>
      </w:pPr>
      <w:r>
        <w:t xml:space="preserve">4.5 Incerteza: Monte Carlo</w:t>
      </w:r>
    </w:p>
    <w:p>
      <w:pPr>
        <w:pStyle w:val="FirstParagraph"/>
      </w:pPr>
      <w:r>
        <w:t xml:space="preserve">Cada uma das 2.000 simulações sorteia: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Parâmetros de longo prazo:</w:t>
      </w:r>
      <w:r>
        <w:t xml:space="preserve"> </w:t>
      </w:r>
      <w:r>
        <w:t xml:space="preserve">produtividade (uniforme entre 0% e 2%), juro real médio (normal em torno de 5,05%, com o erro-padrão da média histórica), deriva de composição (normal em torno de −0,34%, com seu erro-padrão), intensidade da tendência das taxas (0 a 1,5), formalização e ocupação em 2050 (normais em torno de 1, com desvios de 5% e 3%) e prêmio de risco (0 a 4 p.b.).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Choques anuais:</w:t>
      </w:r>
      <w:r>
        <w:t xml:space="preserve"> </w:t>
      </w:r>
      <w:r>
        <w:t xml:space="preserve">choques no crescimento e no juro, cada um persistente (autorregressivo) e correlacionados entre si, com desvio-padrão, persistência e correlação estimados em 2007–2025.</w:t>
      </w:r>
    </w:p>
    <w:bookmarkEnd w:id="16"/>
    <w:bookmarkStart w:id="17" w:name="duas-decomposições"/>
    <w:p>
      <w:pPr>
        <w:pStyle w:val="Heading3"/>
      </w:pPr>
      <w:r>
        <w:t xml:space="preserve">4.6 Duas decomposições</w:t>
      </w:r>
    </w:p>
    <w:p>
      <w:pPr>
        <w:pStyle w:val="FirstParagraph"/>
      </w:pPr>
      <w:r>
        <w:t xml:space="preserve">Para responder quanto do problema vem do envelhecimento, usam-se duas decomposições que</w:t>
      </w:r>
      <w:r>
        <w:t xml:space="preserve"> </w:t>
      </w:r>
      <w:r>
        <w:rPr>
          <w:b/>
          <w:bCs/>
        </w:rPr>
        <w:t xml:space="preserve">somam exatamente</w:t>
      </w:r>
      <w:r>
        <w:t xml:space="preserve"> </w:t>
      </w:r>
      <w:r>
        <w:t xml:space="preserve">o total: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Contábil.</w:t>
      </w:r>
      <w:r>
        <w:t xml:space="preserve"> </w:t>
      </w:r>
      <w:r>
        <w:t xml:space="preserve">Como a dívida de 2050 é linear nos resultados primários (dados os caminhos de juros e crescimento), o ajuste permanente que devolve a dívida de 2050 ao nível de 2025 se divide, sem resíduo, em três partes: os juros acima do crescimento sobre a dívida já existente, o déficit primário atual mantido e o aumento do déficit do RGPS e do BPC.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Shapley.</w:t>
      </w:r>
      <w:r>
        <w:t xml:space="preserve"> </w:t>
      </w:r>
      <w:r>
        <w:t xml:space="preserve">Para capturar também o efeito do envelhecimento sobre o crescimento do PIB, que torna a conta não linear, compara-se o ajuste necessário em quatro mundos: com e sem envelhecimento (estrutura etária congelada em 2025), combinados com ganho real do salário mínimo ou sem ele. A contribuição de cada fator é a média do seu efeito nas duas ordens possíveis (Shorrocks, 2013).</w:t>
      </w:r>
    </w:p>
    <w:bookmarkEnd w:id="17"/>
    <w:bookmarkEnd w:id="18"/>
    <w:bookmarkStart w:id="44" w:name="resultados"/>
    <w:p>
      <w:pPr>
        <w:pStyle w:val="Heading2"/>
      </w:pPr>
      <w:r>
        <w:t xml:space="preserve">5. Resultados</w:t>
      </w:r>
    </w:p>
    <w:bookmarkStart w:id="22" w:name="estrutura-etária"/>
    <w:p>
      <w:pPr>
        <w:pStyle w:val="Heading3"/>
      </w:pPr>
      <w:r>
        <w:t xml:space="preserve">5.1 Estrutura etária</w:t>
      </w:r>
    </w:p>
    <w:p>
      <w:pPr>
        <w:pStyle w:val="FirstParagraph"/>
      </w:pPr>
      <w:r>
        <w:t xml:space="preserve">A Figura 1 resume a transição. A razão de dependência de idosos (65+ para cada 100 pessoas de 15 a 64 anos) passa de 16,8 em 2025 para 36,7 em 2050. Com o corte da idade mínima de aposentadoria, passa de 19,5 para 41,6. Hoje há cerca de cinco pessoas abaixo da idade legal de aposentadoria para cada uma acima dela; em 2050 haverá 2,4.</w:t>
      </w:r>
    </w:p>
    <w:p>
      <w:pPr>
        <w:pStyle w:val="CaptionedFigure"/>
      </w:pPr>
      <w:r>
        <w:drawing>
          <wp:inline>
            <wp:extent cx="5334000" cy="2108790"/>
            <wp:effectExtent b="0" l="0" r="0" t="0"/>
            <wp:docPr descr="Figura 1 – Estrutura etária" title="" id="20" name="Picture"/>
            <a:graphic>
              <a:graphicData uri="http://schemas.openxmlformats.org/drawingml/2006/picture">
                <pic:pic>
                  <pic:nvPicPr>
                    <pic:cNvPr descr="figuras/fig1_demografi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– Estrutura etária</w:t>
      </w:r>
    </w:p>
    <w:p>
      <w:pPr>
        <w:pStyle w:val="BodyText"/>
      </w:pPr>
      <w:r>
        <w:rPr>
          <w:b/>
          <w:bCs/>
        </w:rPr>
        <w:t xml:space="preserve">Tabela 2 – Demografia (IBGE, revisão 2024)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2040</w:t>
            </w:r>
          </w:p>
        </w:tc>
        <w:tc>
          <w:tcPr/>
          <w:p>
            <w:pPr>
              <w:pStyle w:val="Compact"/>
            </w:pPr>
            <w:r>
              <w:t xml:space="preserve">2045</w:t>
            </w:r>
          </w:p>
        </w:tc>
        <w:tc>
          <w:tcPr/>
          <w:p>
            <w:pPr>
              <w:pStyle w:val="Compact"/>
            </w:pPr>
            <w:r>
              <w:t xml:space="preserve">2050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População (milhões)</w:t>
            </w:r>
          </w:p>
        </w:tc>
        <w:tc>
          <w:tcPr/>
          <w:p>
            <w:pPr>
              <w:pStyle w:val="Compact"/>
            </w:pPr>
            <w:r>
              <w:t xml:space="preserve">213,4</w:t>
            </w:r>
          </w:p>
        </w:tc>
        <w:tc>
          <w:tcPr/>
          <w:p>
            <w:pPr>
              <w:pStyle w:val="Compact"/>
            </w:pPr>
            <w:r>
              <w:t xml:space="preserve">217,0</w:t>
            </w:r>
          </w:p>
        </w:tc>
        <w:tc>
          <w:tcPr/>
          <w:p>
            <w:pPr>
              <w:pStyle w:val="Compact"/>
            </w:pPr>
            <w:r>
              <w:t xml:space="preserve">219,4</w:t>
            </w:r>
          </w:p>
        </w:tc>
        <w:tc>
          <w:tcPr/>
          <w:p>
            <w:pPr>
              <w:pStyle w:val="Compact"/>
            </w:pPr>
            <w:r>
              <w:t xml:space="preserve">220,4</w:t>
            </w:r>
          </w:p>
        </w:tc>
        <w:tc>
          <w:tcPr/>
          <w:p>
            <w:pPr>
              <w:pStyle w:val="Compact"/>
            </w:pPr>
            <w:r>
              <w:t xml:space="preserve">220,0</w:t>
            </w:r>
          </w:p>
        </w:tc>
        <w:tc>
          <w:tcPr/>
          <w:p>
            <w:pPr>
              <w:pStyle w:val="Compact"/>
            </w:pPr>
            <w:r>
              <w:t xml:space="preserve">218,4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a 64 anos (milhões)</w:t>
            </w:r>
          </w:p>
        </w:tc>
        <w:tc>
          <w:tcPr/>
          <w:p>
            <w:pPr>
              <w:pStyle w:val="Compact"/>
            </w:pPr>
            <w:r>
              <w:t xml:space="preserve">147,2</w:t>
            </w:r>
          </w:p>
        </w:tc>
        <w:tc>
          <w:tcPr/>
          <w:p>
            <w:pPr>
              <w:pStyle w:val="Compact"/>
            </w:pPr>
            <w:r>
              <w:t xml:space="preserve">148,8</w:t>
            </w:r>
          </w:p>
        </w:tc>
        <w:tc>
          <w:tcPr/>
          <w:p>
            <w:pPr>
              <w:pStyle w:val="Compact"/>
            </w:pPr>
            <w:r>
              <w:t xml:space="preserve">149,6</w:t>
            </w:r>
          </w:p>
        </w:tc>
        <w:tc>
          <w:tcPr/>
          <w:p>
            <w:pPr>
              <w:pStyle w:val="Compact"/>
            </w:pPr>
            <w:r>
              <w:t xml:space="preserve">148,0</w:t>
            </w:r>
          </w:p>
        </w:tc>
        <w:tc>
          <w:tcPr/>
          <w:p>
            <w:pPr>
              <w:pStyle w:val="Compact"/>
            </w:pPr>
            <w:r>
              <w:t xml:space="preserve">143,8</w:t>
            </w:r>
          </w:p>
        </w:tc>
        <w:tc>
          <w:tcPr/>
          <w:p>
            <w:pPr>
              <w:pStyle w:val="Compact"/>
            </w:pPr>
            <w:r>
              <w:t xml:space="preserve">138,0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 anos ou mais (milhões)</w:t>
            </w:r>
          </w:p>
        </w:tc>
        <w:tc>
          <w:tcPr/>
          <w:p>
            <w:pPr>
              <w:pStyle w:val="Compact"/>
            </w:pPr>
            <w:r>
              <w:t xml:space="preserve">35,4</w:t>
            </w:r>
          </w:p>
        </w:tc>
        <w:tc>
          <w:tcPr/>
          <w:p>
            <w:pPr>
              <w:pStyle w:val="Compact"/>
            </w:pPr>
            <w:r>
              <w:t xml:space="preserve">41,2</w:t>
            </w:r>
          </w:p>
        </w:tc>
        <w:tc>
          <w:tcPr/>
          <w:p>
            <w:pPr>
              <w:pStyle w:val="Compact"/>
            </w:pPr>
            <w:r>
              <w:t xml:space="preserve">47,1</w:t>
            </w:r>
          </w:p>
        </w:tc>
        <w:tc>
          <w:tcPr/>
          <w:p>
            <w:pPr>
              <w:pStyle w:val="Compact"/>
            </w:pPr>
            <w:r>
              <w:t xml:space="preserve">53,6</w:t>
            </w:r>
          </w:p>
        </w:tc>
        <w:tc>
          <w:tcPr/>
          <w:p>
            <w:pPr>
              <w:pStyle w:val="Compact"/>
            </w:pPr>
            <w:r>
              <w:t xml:space="preserve">60,3</w:t>
            </w:r>
          </w:p>
        </w:tc>
        <w:tc>
          <w:tcPr/>
          <w:p>
            <w:pPr>
              <w:pStyle w:val="Compact"/>
            </w:pPr>
            <w:r>
              <w:t xml:space="preserve">65,6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60+ (% da população)</w:t>
            </w:r>
          </w:p>
        </w:tc>
        <w:tc>
          <w:tcPr/>
          <w:p>
            <w:pPr>
              <w:pStyle w:val="Compact"/>
            </w:pPr>
            <w:r>
              <w:t xml:space="preserve">16,6</w:t>
            </w:r>
          </w:p>
        </w:tc>
        <w:tc>
          <w:tcPr/>
          <w:p>
            <w:pPr>
              <w:pStyle w:val="Compact"/>
            </w:pPr>
            <w:r>
              <w:t xml:space="preserve">19,0</w:t>
            </w:r>
          </w:p>
        </w:tc>
        <w:tc>
          <w:tcPr/>
          <w:p>
            <w:pPr>
              <w:pStyle w:val="Compact"/>
            </w:pPr>
            <w:r>
              <w:t xml:space="preserve">21,4</w:t>
            </w:r>
          </w:p>
        </w:tc>
        <w:tc>
          <w:tcPr/>
          <w:p>
            <w:pPr>
              <w:pStyle w:val="Compact"/>
            </w:pPr>
            <w:r>
              <w:t xml:space="preserve">24,3</w:t>
            </w:r>
          </w:p>
        </w:tc>
        <w:tc>
          <w:tcPr/>
          <w:p>
            <w:pPr>
              <w:pStyle w:val="Compact"/>
            </w:pPr>
            <w:r>
              <w:t xml:space="preserve">27,4</w:t>
            </w:r>
          </w:p>
        </w:tc>
        <w:tc>
          <w:tcPr/>
          <w:p>
            <w:pPr>
              <w:pStyle w:val="Compact"/>
            </w:pPr>
            <w:r>
              <w:t xml:space="preserve">30,0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65+ / 15–64 (por 100)</w:t>
            </w:r>
          </w:p>
        </w:tc>
        <w:tc>
          <w:tcPr/>
          <w:p>
            <w:pPr>
              <w:pStyle w:val="Compact"/>
            </w:pPr>
            <w:r>
              <w:t xml:space="preserve">16,8</w:t>
            </w:r>
          </w:p>
        </w:tc>
        <w:tc>
          <w:tcPr/>
          <w:p>
            <w:pPr>
              <w:pStyle w:val="Compact"/>
            </w:pPr>
            <w:r>
              <w:t xml:space="preserve">20,0</w:t>
            </w:r>
          </w:p>
        </w:tc>
        <w:tc>
          <w:tcPr/>
          <w:p>
            <w:pPr>
              <w:pStyle w:val="Compact"/>
            </w:pPr>
            <w:r>
              <w:t xml:space="preserve">23,2</w:t>
            </w:r>
          </w:p>
        </w:tc>
        <w:tc>
          <w:tcPr/>
          <w:p>
            <w:pPr>
              <w:pStyle w:val="Compact"/>
            </w:pPr>
            <w:r>
              <w:t xml:space="preserve">26,7</w:t>
            </w:r>
          </w:p>
        </w:tc>
        <w:tc>
          <w:tcPr/>
          <w:p>
            <w:pPr>
              <w:pStyle w:val="Compact"/>
            </w:pPr>
            <w:r>
              <w:t xml:space="preserve">31,4</w:t>
            </w:r>
          </w:p>
        </w:tc>
        <w:tc>
          <w:tcPr/>
          <w:p>
            <w:pPr>
              <w:pStyle w:val="Compact"/>
            </w:pPr>
            <w:r>
              <w:t xml:space="preserve">36,7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Idade legal de aposentadoria¹ (por 100)</w:t>
            </w:r>
          </w:p>
        </w:tc>
        <w:tc>
          <w:tcPr/>
          <w:p>
            <w:pPr>
              <w:pStyle w:val="Compact"/>
            </w:pPr>
            <w:r>
              <w:t xml:space="preserve">19,5</w:t>
            </w:r>
          </w:p>
        </w:tc>
        <w:tc>
          <w:tcPr/>
          <w:p>
            <w:pPr>
              <w:pStyle w:val="Compact"/>
            </w:pPr>
            <w:r>
              <w:t xml:space="preserve">23,0</w:t>
            </w:r>
          </w:p>
        </w:tc>
        <w:tc>
          <w:tcPr/>
          <w:p>
            <w:pPr>
              <w:pStyle w:val="Compact"/>
            </w:pPr>
            <w:r>
              <w:t xml:space="preserve">26,5</w:t>
            </w:r>
          </w:p>
        </w:tc>
        <w:tc>
          <w:tcPr/>
          <w:p>
            <w:pPr>
              <w:pStyle w:val="Compact"/>
            </w:pPr>
            <w:r>
              <w:t xml:space="preserve">30,5</w:t>
            </w:r>
          </w:p>
        </w:tc>
        <w:tc>
          <w:tcPr/>
          <w:p>
            <w:pPr>
              <w:pStyle w:val="Compact"/>
            </w:pPr>
            <w:r>
              <w:t xml:space="preserve">35,9</w:t>
            </w:r>
          </w:p>
        </w:tc>
        <w:tc>
          <w:tcPr/>
          <w:p>
            <w:pPr>
              <w:pStyle w:val="Compact"/>
            </w:pPr>
            <w:r>
              <w:t xml:space="preserve">41,6</w:t>
            </w:r>
          </w:p>
        </w:tc>
      </w:tr>
    </w:tbl>
    <w:p>
      <w:pPr>
        <w:pStyle w:val="BodyText"/>
      </w:pPr>
      <w:r>
        <w:t xml:space="preserve">¹ Mulheres com 62 anos ou mais e homens com 65 ou mais, sobre mulheres de 15 a 61 e homens de 15 a 64.</w:t>
      </w:r>
    </w:p>
    <w:bookmarkEnd w:id="22"/>
    <w:bookmarkStart w:id="26" w:name="backtest-o-modelo-contra-a-história"/>
    <w:p>
      <w:pPr>
        <w:pStyle w:val="Heading3"/>
      </w:pPr>
      <w:r>
        <w:t xml:space="preserve">5.2 Backtest: o modelo contra a história</w:t>
      </w:r>
    </w:p>
    <w:p>
      <w:pPr>
        <w:pStyle w:val="FirstParagraph"/>
      </w:pPr>
      <w:r>
        <w:t xml:space="preserve">Antes de projetar o futuro, o modelo foi posto à prova no passado. As taxas por sexo e idade foram medidas em 2012 e aplicadas à população observada de 2013 a 2024 (Figura 2 e Tabela 3). Três lições resultam: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demografia sozinha superestima o número de benefícios.</w:t>
      </w:r>
      <w:r>
        <w:t xml:space="preserve"> </w:t>
      </w:r>
      <w:r>
        <w:t xml:space="preserve">Com as taxas de 2012, o modelo prevê 37,4 milhões de benefícios do RGPS em 2024; foram 34,2 milhões (erro de +9%). A diferença mostra que as taxas por idade caíram, efeito das mudanças de regras (a reforma das pensões de 2015 e a EC 103/2019) e de revisões administrativas. É essa queda que o cenário central incorpora como tendência (Seção 4.3).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despesa é bem reproduzida.</w:t>
      </w:r>
      <w:r>
        <w:t xml:space="preserve"> </w:t>
      </w:r>
      <w:r>
        <w:t xml:space="preserve">Combinando a contagem demográfica com a regra do piso e a deriva de composição, o modelo reproduz a despesa do RGPS de 2013 a 2024 com erro médio absoluto de 0,23 p.p. do PIB e viés de +0,08 p.p. O maior erro está em 2021 (+0,60 p.p.), ano de forte alta do PIB nominal (inflação de 10% e recuperação da pandemia). A deriva, porém, foi estimada no mesmo período. Por isso, esse teste valida o módulo de quantidades (fora da amostra) mais do que o de valores (dentro da amostra).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 mercado formal surpreendeu para cima.</w:t>
      </w:r>
      <w:r>
        <w:t xml:space="preserve"> </w:t>
      </w:r>
      <w:r>
        <w:t xml:space="preserve">A demografia previa 54,3 milhões de contribuintes em 2024; foram 62,2 milhões. As taxas de contribuição subiram em quase todas as idades, sobretudo entre mulheres e acima dos 55 anos. Por isso, a formalização é tratada como incerta e sorteada nas simulações.</w:t>
      </w:r>
    </w:p>
    <w:p>
      <w:pPr>
        <w:pStyle w:val="FirstParagraph"/>
      </w:pPr>
      <w:r>
        <w:t xml:space="preserve">Como verificação fora da amostra, o modelo calibrado em 2024 projetou para 2025 despesa do RGPS de 8,11% do PIB (observado: 8,06%), receita de 5,44% (observado: 5,57%; parte da diferença provavelmente se deve à reoneração gradual da folha, que o modelo não contém) e despesa com BPC de 1,00% (observado: 1,00%). As projeções partem, a seguir, dos valores observados de 2025.</w:t>
      </w:r>
    </w:p>
    <w:p>
      <w:pPr>
        <w:pStyle w:val="CaptionedFigure"/>
      </w:pPr>
      <w:r>
        <w:drawing>
          <wp:inline>
            <wp:extent cx="5334000" cy="2108790"/>
            <wp:effectExtent b="0" l="0" r="0" t="0"/>
            <wp:docPr descr="Figura 2 – Backtest" title="" id="24" name="Picture"/>
            <a:graphic>
              <a:graphicData uri="http://schemas.openxmlformats.org/drawingml/2006/picture">
                <pic:pic>
                  <pic:nvPicPr>
                    <pic:cNvPr descr="figuras/fig2_backte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– Backtest</w:t>
      </w:r>
    </w:p>
    <w:p>
      <w:pPr>
        <w:pStyle w:val="BodyText"/>
      </w:pPr>
      <w:r>
        <w:rPr>
          <w:b/>
          <w:bCs/>
        </w:rPr>
        <w:t xml:space="preserve">Tabela 3 – Backtest, 2012–2024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2012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Benefícios RGPS, observado (milhões)</w:t>
            </w:r>
          </w:p>
        </w:tc>
        <w:tc>
          <w:tcPr/>
          <w:p>
            <w:pPr>
              <w:pStyle w:val="Compact"/>
            </w:pPr>
            <w:r>
              <w:t xml:space="preserve">25,9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  <w:tc>
          <w:tcPr/>
          <w:p>
            <w:pPr>
              <w:pStyle w:val="Compact"/>
            </w:pPr>
            <w:r>
              <w:t xml:space="preserve">34,2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Benefícios RGPS, só demografia (milhões)</w:t>
            </w:r>
          </w:p>
        </w:tc>
        <w:tc>
          <w:tcPr/>
          <w:p>
            <w:pPr>
              <w:pStyle w:val="Compact"/>
            </w:pPr>
            <w:r>
              <w:t xml:space="preserve">25,9</w:t>
            </w:r>
          </w:p>
        </w:tc>
        <w:tc>
          <w:tcPr/>
          <w:p>
            <w:pPr>
              <w:pStyle w:val="Compact"/>
            </w:pPr>
            <w:r>
              <w:t xml:space="preserve">32,5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Despesa RGPS, observado (% PIB)</w:t>
            </w:r>
          </w:p>
        </w:tc>
        <w:tc>
          <w:tcPr/>
          <w:p>
            <w:pPr>
              <w:pStyle w:val="Compact"/>
            </w:pPr>
            <w:r>
              <w:t xml:space="preserve">6,58</w:t>
            </w:r>
          </w:p>
        </w:tc>
        <w:tc>
          <w:tcPr/>
          <w:p>
            <w:pPr>
              <w:pStyle w:val="Compact"/>
            </w:pPr>
            <w:r>
              <w:t xml:space="preserve">8,48</w:t>
            </w:r>
          </w:p>
        </w:tc>
        <w:tc>
          <w:tcPr/>
          <w:p>
            <w:pPr>
              <w:pStyle w:val="Compact"/>
            </w:pPr>
            <w:r>
              <w:t xml:space="preserve">7,97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Despesa RGPS, modelo (% PIB)</w:t>
            </w:r>
          </w:p>
        </w:tc>
        <w:tc>
          <w:tcPr/>
          <w:p>
            <w:pPr>
              <w:pStyle w:val="Compact"/>
            </w:pPr>
            <w:r>
              <w:t xml:space="preserve">6,60</w:t>
            </w:r>
          </w:p>
        </w:tc>
        <w:tc>
          <w:tcPr/>
          <w:p>
            <w:pPr>
              <w:pStyle w:val="Compact"/>
            </w:pPr>
            <w:r>
              <w:t xml:space="preserve">8,40</w:t>
            </w:r>
          </w:p>
        </w:tc>
        <w:tc>
          <w:tcPr/>
          <w:p>
            <w:pPr>
              <w:pStyle w:val="Compact"/>
            </w:pPr>
            <w:r>
              <w:t xml:space="preserve">8,46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Contribuintes, observado (milhões)</w:t>
            </w:r>
          </w:p>
        </w:tc>
        <w:tc>
          <w:tcPr/>
          <w:p>
            <w:pPr>
              <w:pStyle w:val="Compact"/>
            </w:pPr>
            <w:r>
              <w:t xml:space="preserve">49,6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62,2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Contribuintes, só demografia (milhões)</w:t>
            </w:r>
          </w:p>
        </w:tc>
        <w:tc>
          <w:tcPr/>
          <w:p>
            <w:pPr>
              <w:pStyle w:val="Compact"/>
            </w:pPr>
            <w:r>
              <w:t xml:space="preserve">49,6</w:t>
            </w:r>
          </w:p>
        </w:tc>
        <w:tc>
          <w:tcPr/>
          <w:p>
            <w:pPr>
              <w:pStyle w:val="Compact"/>
            </w:pPr>
            <w:r>
              <w:t xml:space="preserve">53,0</w:t>
            </w:r>
          </w:p>
        </w:tc>
        <w:tc>
          <w:tcPr/>
          <w:p>
            <w:pPr>
              <w:pStyle w:val="Compact"/>
            </w:pPr>
            <w:r>
              <w:t xml:space="preserve">54,3</w:t>
            </w:r>
          </w:p>
        </w:tc>
      </w:tr>
    </w:tbl>
    <w:bookmarkEnd w:id="26"/>
    <w:bookmarkStart w:id="27" w:name="Xc60891d69e053718dcf1c8d43d0af63a4688564"/>
    <w:p>
      <w:pPr>
        <w:pStyle w:val="Heading3"/>
      </w:pPr>
      <w:r>
        <w:t xml:space="preserve">5.3 Contribuintes, beneficiários e arrecadação</w:t>
      </w:r>
    </w:p>
    <w:p>
      <w:pPr>
        <w:pStyle w:val="FirstParagraph"/>
      </w:pPr>
      <w:r>
        <w:t xml:space="preserve">No cenário central (Tabela 4), o número de contribuintes fica praticamente estável até 2040, em torno de 63 milhões, e cai para 60 milhões em 2050, acompanhando a população em idade ativa. O número de benefícios do RGPS cresce de 35,0 para 62,0 milhões, e o de beneficiários do BPC dobra, de 6,6 para 13,3 milhões. A relação entre contribuintes e benefícios do RGPS cai de 1,78 em 2025 para 0,97 em 2050.</w:t>
      </w:r>
    </w:p>
    <w:p>
      <w:pPr>
        <w:pStyle w:val="BodyText"/>
      </w:pPr>
      <w:r>
        <w:t xml:space="preserve">A arrecadação do RGPS cai levemente, de 5,57% para 5,40% do PIB. Ela não fica constante por construção, como numa versão anterior deste trabalho: cai porque, com o envelhecimento, cresce a parcela de ocupados acima de 60 anos, idade em que a taxa de contribuição é menor. A queda, porém, é pequena. Sob a hipótese de participação salarial constante, o grosso do ajuste vem pelo lado da despesa. Isso é consequência das hipóteses, não uma constatação empírica.</w:t>
      </w:r>
    </w:p>
    <w:p>
      <w:pPr>
        <w:pStyle w:val="BodyText"/>
      </w:pPr>
      <w:r>
        <w:rPr>
          <w:b/>
          <w:bCs/>
        </w:rPr>
        <w:t xml:space="preserve">Tabela 4 – Cenário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2035</w:t>
            </w:r>
          </w:p>
        </w:tc>
        <w:tc>
          <w:tcPr/>
          <w:p>
            <w:pPr>
              <w:pStyle w:val="Compact"/>
            </w:pPr>
            <w:r>
              <w:t xml:space="preserve">2040</w:t>
            </w:r>
          </w:p>
        </w:tc>
        <w:tc>
          <w:tcPr/>
          <w:p>
            <w:pPr>
              <w:pStyle w:val="Compact"/>
            </w:pPr>
            <w:r>
              <w:t xml:space="preserve">2045</w:t>
            </w:r>
          </w:p>
        </w:tc>
        <w:tc>
          <w:tcPr/>
          <w:p>
            <w:pPr>
              <w:pStyle w:val="Compact"/>
            </w:pPr>
            <w:r>
              <w:t xml:space="preserve">2050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Contribuintes (milhões)</w:t>
            </w:r>
          </w:p>
        </w:tc>
        <w:tc>
          <w:tcPr/>
          <w:p>
            <w:pPr>
              <w:pStyle w:val="Compact"/>
            </w:pPr>
            <w:r>
              <w:t xml:space="preserve">62,4</w:t>
            </w:r>
          </w:p>
        </w:tc>
        <w:tc>
          <w:tcPr/>
          <w:p>
            <w:pPr>
              <w:pStyle w:val="Compact"/>
            </w:pPr>
            <w:r>
              <w:t xml:space="preserve">63,3</w:t>
            </w:r>
          </w:p>
        </w:tc>
        <w:tc>
          <w:tcPr/>
          <w:p>
            <w:pPr>
              <w:pStyle w:val="Compact"/>
            </w:pPr>
            <w:r>
              <w:t xml:space="preserve">63,6</w:t>
            </w:r>
          </w:p>
        </w:tc>
        <w:tc>
          <w:tcPr/>
          <w:p>
            <w:pPr>
              <w:pStyle w:val="Compact"/>
            </w:pPr>
            <w:r>
              <w:t xml:space="preserve">63,4</w:t>
            </w:r>
          </w:p>
        </w:tc>
        <w:tc>
          <w:tcPr/>
          <w:p>
            <w:pPr>
              <w:pStyle w:val="Compact"/>
            </w:pPr>
            <w:r>
              <w:t xml:space="preserve">62,1</w:t>
            </w:r>
          </w:p>
        </w:tc>
        <w:tc>
          <w:tcPr/>
          <w:p>
            <w:pPr>
              <w:pStyle w:val="Compact"/>
            </w:pPr>
            <w:r>
              <w:t xml:space="preserve">60,0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Benefícios RGPS (milhões)</w:t>
            </w:r>
          </w:p>
        </w:tc>
        <w:tc>
          <w:tcPr/>
          <w:p>
            <w:pPr>
              <w:pStyle w:val="Compact"/>
            </w:pPr>
            <w:r>
              <w:t xml:space="preserve">35,0</w:t>
            </w:r>
          </w:p>
        </w:tc>
        <w:tc>
          <w:tcPr/>
          <w:p>
            <w:pPr>
              <w:pStyle w:val="Compact"/>
            </w:pPr>
            <w:r>
              <w:t xml:space="preserve">39,8</w:t>
            </w:r>
          </w:p>
        </w:tc>
        <w:tc>
          <w:tcPr/>
          <w:p>
            <w:pPr>
              <w:pStyle w:val="Compact"/>
            </w:pPr>
            <w:r>
              <w:t xml:space="preserve">45,0</w:t>
            </w:r>
          </w:p>
        </w:tc>
        <w:tc>
          <w:tcPr/>
          <w:p>
            <w:pPr>
              <w:pStyle w:val="Compact"/>
            </w:pPr>
            <w:r>
              <w:t xml:space="preserve">50,6</w:t>
            </w:r>
          </w:p>
        </w:tc>
        <w:tc>
          <w:tcPr/>
          <w:p>
            <w:pPr>
              <w:pStyle w:val="Compact"/>
            </w:pPr>
            <w:r>
              <w:t xml:space="preserve">56,4</w:t>
            </w:r>
          </w:p>
        </w:tc>
        <w:tc>
          <w:tcPr/>
          <w:p>
            <w:pPr>
              <w:pStyle w:val="Compact"/>
            </w:pPr>
            <w:r>
              <w:t xml:space="preserve">62,0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Beneficiários BPC (milhões)</w:t>
            </w:r>
          </w:p>
        </w:tc>
        <w:tc>
          <w:tcPr/>
          <w:p>
            <w:pPr>
              <w:pStyle w:val="Compact"/>
            </w:pPr>
            <w:r>
              <w:t xml:space="preserve">6,6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  <w:tc>
          <w:tcPr/>
          <w:p>
            <w:pPr>
              <w:pStyle w:val="Compact"/>
            </w:pPr>
            <w:r>
              <w:t xml:space="preserve">11,0</w:t>
            </w:r>
          </w:p>
        </w:tc>
        <w:tc>
          <w:tcPr/>
          <w:p>
            <w:pPr>
              <w:pStyle w:val="Compact"/>
            </w:pPr>
            <w:r>
              <w:t xml:space="preserve">12,4</w:t>
            </w:r>
          </w:p>
        </w:tc>
        <w:tc>
          <w:tcPr/>
          <w:p>
            <w:pPr>
              <w:pStyle w:val="Compact"/>
            </w:pPr>
            <w:r>
              <w:t xml:space="preserve">13,3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Contribuintes por benefício RGPS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  <w:tc>
          <w:tcPr/>
          <w:p>
            <w:pPr>
              <w:pStyle w:val="Compact"/>
            </w:pPr>
            <w:r>
              <w:t xml:space="preserve">1,41</w:t>
            </w:r>
          </w:p>
        </w:tc>
        <w:tc>
          <w:tcPr/>
          <w:p>
            <w:pPr>
              <w:pStyle w:val="Compact"/>
            </w:pPr>
            <w:r>
              <w:t xml:space="preserve">1,25</w:t>
            </w:r>
          </w:p>
        </w:tc>
        <w:tc>
          <w:tcPr/>
          <w:p>
            <w:pPr>
              <w:pStyle w:val="Compact"/>
            </w:pPr>
            <w:r>
              <w:t xml:space="preserve">1,10</w:t>
            </w:r>
          </w:p>
        </w:tc>
        <w:tc>
          <w:tcPr/>
          <w:p>
            <w:pPr>
              <w:pStyle w:val="Compact"/>
            </w:pPr>
            <w:r>
              <w:t xml:space="preserve">0,97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Despesa RGPS (% PIB)</w:t>
            </w:r>
          </w:p>
        </w:tc>
        <w:tc>
          <w:tcPr/>
          <w:p>
            <w:pPr>
              <w:pStyle w:val="Compact"/>
            </w:pPr>
            <w:r>
              <w:t xml:space="preserve">8,06</w:t>
            </w:r>
          </w:p>
        </w:tc>
        <w:tc>
          <w:tcPr/>
          <w:p>
            <w:pPr>
              <w:pStyle w:val="Compact"/>
            </w:pPr>
            <w:r>
              <w:t xml:space="preserve">8,69</w:t>
            </w:r>
          </w:p>
        </w:tc>
        <w:tc>
          <w:tcPr/>
          <w:p>
            <w:pPr>
              <w:pStyle w:val="Compact"/>
            </w:pPr>
            <w:r>
              <w:t xml:space="preserve">9,32</w:t>
            </w:r>
          </w:p>
        </w:tc>
        <w:tc>
          <w:tcPr/>
          <w:p>
            <w:pPr>
              <w:pStyle w:val="Compact"/>
            </w:pPr>
            <w:r>
              <w:t xml:space="preserve">10,03</w:t>
            </w:r>
          </w:p>
        </w:tc>
        <w:tc>
          <w:tcPr/>
          <w:p>
            <w:pPr>
              <w:pStyle w:val="Compact"/>
            </w:pPr>
            <w:r>
              <w:t xml:space="preserve">10,81</w:t>
            </w:r>
          </w:p>
        </w:tc>
        <w:tc>
          <w:tcPr/>
          <w:p>
            <w:pPr>
              <w:pStyle w:val="Compact"/>
            </w:pPr>
            <w:r>
              <w:t xml:space="preserve">11,51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RGPS (% PIB)</w:t>
            </w:r>
          </w:p>
        </w:tc>
        <w:tc>
          <w:tcPr/>
          <w:p>
            <w:pPr>
              <w:pStyle w:val="Compact"/>
            </w:pPr>
            <w:r>
              <w:t xml:space="preserve">5,57</w:t>
            </w:r>
          </w:p>
        </w:tc>
        <w:tc>
          <w:tcPr/>
          <w:p>
            <w:pPr>
              <w:pStyle w:val="Compact"/>
            </w:pPr>
            <w:r>
              <w:t xml:space="preserve">5,53</w:t>
            </w:r>
          </w:p>
        </w:tc>
        <w:tc>
          <w:tcPr/>
          <w:p>
            <w:pPr>
              <w:pStyle w:val="Compact"/>
            </w:pPr>
            <w:r>
              <w:t xml:space="preserve">5,48</w:t>
            </w:r>
          </w:p>
        </w:tc>
        <w:tc>
          <w:tcPr/>
          <w:p>
            <w:pPr>
              <w:pStyle w:val="Compact"/>
            </w:pPr>
            <w:r>
              <w:t xml:space="preserve">5,47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5,40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RGPS (% PIB)</w:t>
            </w:r>
          </w:p>
        </w:tc>
        <w:tc>
          <w:tcPr/>
          <w:p>
            <w:pPr>
              <w:pStyle w:val="Compact"/>
            </w:pPr>
            <w:r>
              <w:t xml:space="preserve">2,49</w:t>
            </w:r>
          </w:p>
        </w:tc>
        <w:tc>
          <w:tcPr/>
          <w:p>
            <w:pPr>
              <w:pStyle w:val="Compact"/>
            </w:pPr>
            <w:r>
              <w:t xml:space="preserve">3,15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4,56</w:t>
            </w:r>
          </w:p>
        </w:tc>
        <w:tc>
          <w:tcPr/>
          <w:p>
            <w:pPr>
              <w:pStyle w:val="Compact"/>
            </w:pPr>
            <w:r>
              <w:t xml:space="preserve">5,36</w:t>
            </w:r>
          </w:p>
        </w:tc>
        <w:tc>
          <w:tcPr/>
          <w:p>
            <w:pPr>
              <w:pStyle w:val="Compact"/>
            </w:pPr>
            <w:r>
              <w:t xml:space="preserve">6,12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Despesa BPC (% PIB)</w:t>
            </w:r>
          </w:p>
        </w:tc>
        <w:tc>
          <w:tcPr/>
          <w:p>
            <w:pPr>
              <w:pStyle w:val="Compact"/>
            </w:pPr>
            <w:r>
              <w:t xml:space="preserve">1,00</w:t>
            </w:r>
          </w:p>
        </w:tc>
        <w:tc>
          <w:tcPr/>
          <w:p>
            <w:pPr>
              <w:pStyle w:val="Compact"/>
            </w:pPr>
            <w:r>
              <w:t xml:space="preserve">1,24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1,70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2,08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RGPS + BPC (% PIB)</w:t>
            </w:r>
          </w:p>
        </w:tc>
        <w:tc>
          <w:tcPr/>
          <w:p>
            <w:pPr>
              <w:pStyle w:val="Compact"/>
            </w:pPr>
            <w:r>
              <w:t xml:space="preserve">3,49</w:t>
            </w:r>
          </w:p>
        </w:tc>
        <w:tc>
          <w:tcPr/>
          <w:p>
            <w:pPr>
              <w:pStyle w:val="Compact"/>
            </w:pPr>
            <w:r>
              <w:t xml:space="preserve">4,39</w:t>
            </w:r>
          </w:p>
        </w:tc>
        <w:tc>
          <w:tcPr/>
          <w:p>
            <w:pPr>
              <w:pStyle w:val="Compact"/>
            </w:pPr>
            <w:r>
              <w:t xml:space="preserve">5,30</w:t>
            </w:r>
          </w:p>
        </w:tc>
        <w:tc>
          <w:tcPr/>
          <w:p>
            <w:pPr>
              <w:pStyle w:val="Compact"/>
            </w:pPr>
            <w:r>
              <w:t xml:space="preserve">6,27</w:t>
            </w:r>
          </w:p>
        </w:tc>
        <w:tc>
          <w:tcPr/>
          <w:p>
            <w:pPr>
              <w:pStyle w:val="Compact"/>
            </w:pPr>
            <w:r>
              <w:t xml:space="preserve">7,28</w:t>
            </w:r>
          </w:p>
        </w:tc>
        <w:tc>
          <w:tcPr/>
          <w:p>
            <w:pPr>
              <w:pStyle w:val="Compact"/>
            </w:pPr>
            <w:r>
              <w:t xml:space="preserve">8,20</w:t>
            </w:r>
          </w:p>
        </w:tc>
      </w:tr>
    </w:tbl>
    <w:bookmarkEnd w:id="27"/>
    <w:bookmarkStart w:id="31" w:name="X8f5069bc3027045f58dfcf1e7cd43d8e5457451"/>
    <w:p>
      <w:pPr>
        <w:pStyle w:val="Heading3"/>
      </w:pPr>
      <w:r>
        <w:t xml:space="preserve">5.4 Resultado previdenciário e comparação com as projeções oficiais</w:t>
      </w:r>
    </w:p>
    <w:p>
      <w:pPr>
        <w:pStyle w:val="FirstParagraph"/>
      </w:pPr>
      <w:r>
        <w:t xml:space="preserve">A despesa do RGPS sobe de 8,1% para 11,5% do PIB em 2050 no cenário central (Figura 3). A avaliação atuarial do PLDO 2027 projeta 10,2%, e a IFI, 9,1% já em 2030, contra 8,7% deste modelo e 8,0% da LDO. Estas projeções ficam, portanto, entre as duas oficiais no curto prazo e um pouco acima da LDO no longo prazo. A diferença maior está na receita: a LDO supõe que a arrecadação suba para 6,4–6,5% do PIB a partir de 2030, enquanto este modelo e a IFI a mantêm perto de 5,5%. Por isso, o déficit do RGPS em 2050 é de 6,1% do PIB aqui e de 3,8% na LDO. Há também uma diferença de método: a LDO acompanha coortes e regras de cálculo, enquanto este modelo projeta estoques por idade. Isso tende a captar com atraso a queda das taxas de aposentadoria abaixo das idades mínimas.</w:t>
      </w:r>
    </w:p>
    <w:p>
      <w:pPr>
        <w:pStyle w:val="BodyText"/>
      </w:pPr>
      <w:r>
        <w:t xml:space="preserve">Os cenários alternativos (Tabela 5) mostram a amplitude. Com crescimento e formalização maiores e juro menor (cenário favorável), o déficit RGPS + BPC chega a 6,3% do PIB em 2050; no desfavorável, a 11,0%. Sem ganho real do salário mínimo, fica em 6,4%. Se a estrutura etária de 2025 fosse congelada, o déficit do RGPS cairia para 0,5% do PIB, efeito combinado do crescimento da produtividade e da deriva negativa do benefício médio.</w:t>
      </w:r>
    </w:p>
    <w:p>
      <w:pPr>
        <w:pStyle w:val="CaptionedFigure"/>
      </w:pPr>
      <w:r>
        <w:drawing>
          <wp:inline>
            <wp:extent cx="5334000" cy="2108790"/>
            <wp:effectExtent b="0" l="0" r="0" t="0"/>
            <wp:docPr descr="Figura 3 – Resultado previdenciário e assistencial" title="" id="29" name="Picture"/>
            <a:graphic>
              <a:graphicData uri="http://schemas.openxmlformats.org/drawingml/2006/picture">
                <pic:pic>
                  <pic:nvPicPr>
                    <pic:cNvPr descr="figuras/fig3_previdenci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8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– Resultado previdenciário e assistencial</w:t>
      </w:r>
    </w:p>
    <w:p>
      <w:pPr>
        <w:pStyle w:val="BodyText"/>
      </w:pPr>
      <w:r>
        <w:rPr>
          <w:b/>
          <w:bCs/>
        </w:rPr>
        <w:t xml:space="preserve">Tabela 5 – Cenários em 2050 (% do PIB, salvo indicação)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Central</w:t>
            </w:r>
          </w:p>
        </w:tc>
        <w:tc>
          <w:tcPr/>
          <w:p>
            <w:pPr>
              <w:pStyle w:val="Compact"/>
            </w:pPr>
            <w:r>
              <w:t xml:space="preserve">Favorável</w:t>
            </w:r>
          </w:p>
        </w:tc>
        <w:tc>
          <w:tcPr/>
          <w:p>
            <w:pPr>
              <w:pStyle w:val="Compact"/>
            </w:pPr>
            <w:r>
              <w:t xml:space="preserve">Desfavorável</w:t>
            </w:r>
          </w:p>
        </w:tc>
        <w:tc>
          <w:tcPr/>
          <w:p>
            <w:pPr>
              <w:pStyle w:val="Compact"/>
            </w:pPr>
            <w:r>
              <w:t xml:space="preserve">SM sem ganho real</w:t>
            </w:r>
          </w:p>
        </w:tc>
        <w:tc>
          <w:tcPr/>
          <w:p>
            <w:pPr>
              <w:pStyle w:val="Compact"/>
            </w:pPr>
            <w:r>
              <w:t xml:space="preserve">Sem envelhecimento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Produtividade (% a.a.)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0,3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Juro real (% a.a.)</w:t>
            </w:r>
          </w:p>
        </w:tc>
        <w:tc>
          <w:tcPr/>
          <w:p>
            <w:pPr>
              <w:pStyle w:val="Compact"/>
            </w:pPr>
            <w:r>
              <w:t xml:space="preserve">5,05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6,5</w:t>
            </w:r>
          </w:p>
        </w:tc>
        <w:tc>
          <w:tcPr/>
          <w:p>
            <w:pPr>
              <w:pStyle w:val="Compact"/>
            </w:pPr>
            <w:r>
              <w:t xml:space="preserve">5,05</w:t>
            </w:r>
          </w:p>
        </w:tc>
        <w:tc>
          <w:tcPr/>
          <w:p>
            <w:pPr>
              <w:pStyle w:val="Compact"/>
            </w:pPr>
            <w:r>
              <w:t xml:space="preserve">5,05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Formalização / ocupação em 2050 (2024 = 1)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  <w:tc>
          <w:tcPr/>
          <w:p>
            <w:pPr>
              <w:pStyle w:val="Compact"/>
            </w:pPr>
            <w:r>
              <w:t xml:space="preserve">1,08 / 1,04</w:t>
            </w:r>
          </w:p>
        </w:tc>
        <w:tc>
          <w:tcPr/>
          <w:p>
            <w:pPr>
              <w:pStyle w:val="Compact"/>
            </w:pPr>
            <w:r>
              <w:t xml:space="preserve">0,92 / 0,96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Crescimento médio do PIB 2026–2050 (% a.a.)</w:t>
            </w:r>
          </w:p>
        </w:tc>
        <w:tc>
          <w:tcPr/>
          <w:p>
            <w:pPr>
              <w:pStyle w:val="Compact"/>
            </w:pPr>
            <w:r>
              <w:t xml:space="preserve">0,97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0,11</w:t>
            </w:r>
          </w:p>
        </w:tc>
        <w:tc>
          <w:tcPr/>
          <w:p>
            <w:pPr>
              <w:pStyle w:val="Compact"/>
            </w:pPr>
            <w:r>
              <w:t xml:space="preserve">0,97</w:t>
            </w:r>
          </w:p>
        </w:tc>
        <w:tc>
          <w:tcPr/>
          <w:p>
            <w:pPr>
              <w:pStyle w:val="Compact"/>
            </w:pPr>
            <w:r>
              <w:t xml:space="preserve">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Contribuintes por benefício RGPS</w:t>
            </w:r>
          </w:p>
        </w:tc>
        <w:tc>
          <w:tcPr/>
          <w:p>
            <w:pPr>
              <w:pStyle w:val="Compact"/>
            </w:pPr>
            <w:r>
              <w:t xml:space="preserve">0,97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0,89</w:t>
            </w:r>
          </w:p>
        </w:tc>
        <w:tc>
          <w:tcPr/>
          <w:p>
            <w:pPr>
              <w:pStyle w:val="Compact"/>
            </w:pPr>
            <w:r>
              <w:t xml:space="preserve">0,97</w:t>
            </w:r>
          </w:p>
        </w:tc>
        <w:tc>
          <w:tcPr/>
          <w:p>
            <w:pPr>
              <w:pStyle w:val="Compact"/>
            </w:pPr>
            <w:r>
              <w:t xml:space="preserve">1,87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Despesa RGPS</w:t>
            </w:r>
          </w:p>
        </w:tc>
        <w:tc>
          <w:tcPr/>
          <w:p>
            <w:pPr>
              <w:pStyle w:val="Compact"/>
            </w:pPr>
            <w:r>
              <w:t xml:space="preserve">11,5</w:t>
            </w:r>
          </w:p>
        </w:tc>
        <w:tc>
          <w:tcPr/>
          <w:p>
            <w:pPr>
              <w:pStyle w:val="Compact"/>
            </w:pPr>
            <w:r>
              <w:t xml:space="preserve">9,9</w:t>
            </w:r>
          </w:p>
        </w:tc>
        <w:tc>
          <w:tcPr/>
          <w:p>
            <w:pPr>
              <w:pStyle w:val="Compact"/>
            </w:pPr>
            <w:r>
              <w:t xml:space="preserve">13,8</w:t>
            </w:r>
          </w:p>
        </w:tc>
        <w:tc>
          <w:tcPr/>
          <w:p>
            <w:pPr>
              <w:pStyle w:val="Compact"/>
            </w:pPr>
            <w:r>
              <w:t xml:space="preserve">10,2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RGPS</w:t>
            </w:r>
          </w:p>
        </w:tc>
        <w:tc>
          <w:tcPr/>
          <w:p>
            <w:pPr>
              <w:pStyle w:val="Compact"/>
            </w:pPr>
            <w:r>
              <w:t xml:space="preserve">5,4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  <w:tc>
          <w:tcPr/>
          <w:p>
            <w:pPr>
              <w:pStyle w:val="Compact"/>
            </w:pPr>
            <w:r>
              <w:t xml:space="preserve">5,2</w:t>
            </w:r>
          </w:p>
        </w:tc>
        <w:tc>
          <w:tcPr/>
          <w:p>
            <w:pPr>
              <w:pStyle w:val="Compact"/>
            </w:pPr>
            <w:r>
              <w:t xml:space="preserve">5,4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Despesa BPC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2,0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 primário</w:t>
            </w:r>
          </w:p>
        </w:tc>
        <w:tc>
          <w:tcPr/>
          <w:p>
            <w:pPr>
              <w:pStyle w:val="Compact"/>
            </w:pPr>
            <w:r>
              <w:t xml:space="preserve">−5,1</w:t>
            </w:r>
          </w:p>
        </w:tc>
        <w:tc>
          <w:tcPr/>
          <w:p>
            <w:pPr>
              <w:pStyle w:val="Compact"/>
            </w:pPr>
            <w:r>
              <w:t xml:space="preserve">−3,4</w:t>
            </w:r>
          </w:p>
        </w:tc>
        <w:tc>
          <w:tcPr/>
          <w:p>
            <w:pPr>
              <w:pStyle w:val="Compact"/>
            </w:pPr>
            <w:r>
              <w:t xml:space="preserve">−7,8</w:t>
            </w:r>
          </w:p>
        </w:tc>
        <w:tc>
          <w:tcPr/>
          <w:p>
            <w:pPr>
              <w:pStyle w:val="Compact"/>
            </w:pPr>
            <w:r>
              <w:t xml:space="preserve">−3,4</w:t>
            </w:r>
          </w:p>
        </w:tc>
        <w:tc>
          <w:tcPr/>
          <w:p>
            <w:pPr>
              <w:pStyle w:val="Compact"/>
            </w:pPr>
            <w:r>
              <w:t xml:space="preserve">+0,9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Dívida bruta em 2035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 em que a dívida passa de 100% do PIB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2036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2032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Ajuste primário necessário, 2027–2050 (p.p. PIB)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3,1</w:t>
            </w:r>
          </w:p>
        </w:tc>
      </w:tr>
    </w:tbl>
    <w:bookmarkEnd w:id="31"/>
    <w:bookmarkStart w:id="35" w:name="Xbcfe435e2771988417abceaf2c97eb33424ca03"/>
    <w:p>
      <w:pPr>
        <w:pStyle w:val="Heading3"/>
      </w:pPr>
      <w:r>
        <w:t xml:space="preserve">5.5 Dívida pública: incerteza e retroalimentação</w:t>
      </w:r>
    </w:p>
    <w:p>
      <w:pPr>
        <w:pStyle w:val="FirstParagraph"/>
      </w:pPr>
      <w:r>
        <w:t xml:space="preserve">Sem ajuste, a dívida sobe em todos os cenários. A Figura 4 mostra as 2.000 simulações. Na projeção sem reação fiscal, a mediana da dívida chega a 101% do PIB em 2030, 136% em 2035 e 196% em 2040. Em 90% das simulações, a dívida de 2035 fica entre 95% e 192% do PIB. Em 91,6% delas, a dívida de 2035 está acima de 100% do PIB; o ano mediano em que esse limite é ultrapassado é 2030. Com reação fiscal de 0,05, a mediana de 2035 cai para 125% do PIB e a probabilidade de superar 100% nesse ano, para 88%. Essa reação é insuficiente porque o coeficiente (0,05) é pouco maior que a diferença entre juro e crescimento (cerca de 0,04), e o déficit previdenciário continua subindo.</w:t>
      </w:r>
    </w:p>
    <w:p>
      <w:pPr>
        <w:pStyle w:val="BodyText"/>
      </w:pPr>
      <w:r>
        <w:t xml:space="preserve">Os níveis projetados para depois de 2040 não são reportados como previsão. Muito antes de atingi-los, o governo teria de ajustar as contas, ou os juros subiriam de forma não linear, como sugere a literatura sobre fadiga fiscal (Ghosh</w:t>
      </w:r>
      <w:r>
        <w:t xml:space="preserve"> </w:t>
      </w:r>
      <w:r>
        <w:rPr>
          <w:i/>
          <w:iCs/>
        </w:rPr>
        <w:t xml:space="preserve">et al.</w:t>
      </w:r>
      <w:r>
        <w:t xml:space="preserve">, 2013). O prêmio de risco dependente da dívida ilustra o ponto: com 2 ou 4 pontos-base por ponto de dívida, a dívida de 2040 no cenário central passa de 172% para 191% ou 216% do PIB. Por isso, a métrica principal é o ajuste necessário (Seção 5.6).</w:t>
      </w:r>
    </w:p>
    <w:p>
      <w:pPr>
        <w:pStyle w:val="BodyText"/>
      </w:pPr>
      <w:r>
        <w:t xml:space="preserve">A necessidade de financiamento cresce junto com a dívida. No cenário central, os juros nominais chegam a 9,6% do PIB em 2035 e o déficit nominal (juros mais déficit primário), a 11,9% do PIB, contra 7,9% em 2025.</w:t>
      </w:r>
    </w:p>
    <w:p>
      <w:pPr>
        <w:pStyle w:val="CaptionedFigure"/>
      </w:pPr>
      <w:r>
        <w:drawing>
          <wp:inline>
            <wp:extent cx="5334000" cy="2170813"/>
            <wp:effectExtent b="0" l="0" r="0" t="0"/>
            <wp:docPr descr="Figura 4 – Dívida: Monte Carlo" title="" id="33" name="Picture"/>
            <a:graphic>
              <a:graphicData uri="http://schemas.openxmlformats.org/drawingml/2006/picture">
                <pic:pic>
                  <pic:nvPicPr>
                    <pic:cNvPr descr="figuras/fig4_divida_fa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0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– Dívida: Monte Carlo</w:t>
      </w:r>
    </w:p>
    <w:bookmarkEnd w:id="35"/>
    <w:bookmarkStart w:id="39" w:name="o-ajuste-necessário-e-de-onde-ele-vem"/>
    <w:p>
      <w:pPr>
        <w:pStyle w:val="Heading3"/>
      </w:pPr>
      <w:r>
        <w:t xml:space="preserve">5.6 O ajuste necessário e de onde ele vem</w:t>
      </w:r>
    </w:p>
    <w:p>
      <w:pPr>
        <w:pStyle w:val="FirstParagraph"/>
      </w:pPr>
      <w:r>
        <w:t xml:space="preserve">O ajuste primário permanente, a partir de 2027, que devolveria a dívida de 2050 ao nível de 2025 é de</w:t>
      </w:r>
      <w:r>
        <w:t xml:space="preserve"> </w:t>
      </w:r>
      <w:r>
        <w:rPr>
          <w:b/>
          <w:bCs/>
        </w:rPr>
        <w:t xml:space="preserve">5,9 p.p. do PIB</w:t>
      </w:r>
      <w:r>
        <w:t xml:space="preserve"> </w:t>
      </w:r>
      <w:r>
        <w:t xml:space="preserve">no cenário central (Figura 5). Nas simulações, a mediana é 6,2 p.p., com 50% dos casos entre 4,5 e 8,2 p.p. e 90% entre 2,2 e 11,4 p.p. Para comparação, os maiores superávits primários do setor público na série do BCB (série 5793) ficaram entre 3,2% e 3,7% do PIB, de 2002 a 2008.</w:t>
      </w:r>
    </w:p>
    <w:p>
      <w:pPr>
        <w:pStyle w:val="BodyText"/>
      </w:pPr>
      <w:r>
        <w:t xml:space="preserve">A decomposição contábil (Tabela 6) divide os 5,9 p.p. em três parcelas que somam exatamente o total: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3,3 p.p.</w:t>
      </w:r>
      <w:r>
        <w:t xml:space="preserve"> </w:t>
      </w:r>
      <w:r>
        <w:t xml:space="preserve">decorrem de o juro real (5,05%) superar o crescimento (cerca de 1%) sobre a dívida que já existe. Esse problema independe da Previdência.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0,5 p.p.</w:t>
      </w:r>
      <w:r>
        <w:t xml:space="preserve"> </w:t>
      </w:r>
      <w:r>
        <w:t xml:space="preserve">decorrem de manter o déficit primário de 2025.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2,2 p.p.</w:t>
      </w:r>
      <w:r>
        <w:t xml:space="preserve"> </w:t>
      </w:r>
      <w:r>
        <w:t xml:space="preserve">decorrem do aumento do déficit do RGPS e do BPC depois de 2025.</w:t>
      </w:r>
    </w:p>
    <w:p>
      <w:pPr>
        <w:pStyle w:val="FirstParagraph"/>
      </w:pPr>
      <w:r>
        <w:t xml:space="preserve">A decomposição de Shapley responde à pergunta de outra forma. Do ajuste total, 2,7 p.p. se devem ao envelhecimento e 0,7 p.p. ao ganho real do salário mínimo; os 2,5 p.p. restantes seriam necessários mesmo sem envelhecimento e sem ganho real do mínimo. O efeito do envelhecimento (2,7 p.p.) é maior que o aumento do déficit previdenciário (2,2 p.p.) porque o envelhecimento também reduz o crescimento do PIB e, com isso, amplia a diferença entre juro e crescimento sobre toda a dívida. Assim, a afirmação correta não é</w:t>
      </w:r>
      <w:r>
        <w:t xml:space="preserve"> </w:t>
      </w:r>
      <w:r>
        <w:t xml:space="preserve">“o envelhecimento explica X% da alta da dívida”</w:t>
      </w:r>
      <w:r>
        <w:t xml:space="preserve">, e sim:</w:t>
      </w:r>
      <w:r>
        <w:t xml:space="preserve"> </w:t>
      </w:r>
      <w:r>
        <w:rPr>
          <w:b/>
          <w:bCs/>
        </w:rPr>
        <w:t xml:space="preserve">o envelhecimento responde por cerca de 2,7 dos 5,9 p.p. de ajuste necessário, pouco menos da metade, e o restante vem sobretudo do juro alto sobre a dívida já acumulada.</w:t>
      </w:r>
    </w:p>
    <w:p>
      <w:pPr>
        <w:pStyle w:val="CaptionedFigure"/>
      </w:pPr>
      <w:r>
        <w:drawing>
          <wp:inline>
            <wp:extent cx="5334000" cy="2121477"/>
            <wp:effectExtent b="0" l="0" r="0" t="0"/>
            <wp:docPr descr="Figura 5 – Ajuste necessário" title="" id="37" name="Picture"/>
            <a:graphic>
              <a:graphicData uri="http://schemas.openxmlformats.org/drawingml/2006/picture">
                <pic:pic>
                  <pic:nvPicPr>
                    <pic:cNvPr descr="figuras/fig5_ajust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 – Ajuste necessário</w:t>
      </w:r>
    </w:p>
    <w:p>
      <w:pPr>
        <w:pStyle w:val="BodyText"/>
      </w:pPr>
      <w:r>
        <w:rPr>
          <w:b/>
          <w:bCs/>
        </w:rPr>
        <w:t xml:space="preserve">Tabela 6 – Decomposições do ajuste necessário, cenário central (p.p. do PIB)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Decomposição contábil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Decomposição de Shapley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Juros acima do crescimento sobre a dívida de 2025</w:t>
            </w:r>
          </w:p>
        </w:tc>
        <w:tc>
          <w:tcPr/>
          <w:p>
            <w:pPr>
              <w:pStyle w:val="Compact"/>
            </w:pPr>
            <w:r>
              <w:t xml:space="preserve">3,30</w:t>
            </w:r>
          </w:p>
        </w:tc>
        <w:tc>
          <w:tcPr/>
          <w:p>
            <w:pPr>
              <w:pStyle w:val="Compact"/>
            </w:pPr>
            <w:r>
              <w:t xml:space="preserve">Sem envelhecimento e sem ganho real do SM</w:t>
            </w:r>
          </w:p>
        </w:tc>
        <w:tc>
          <w:tcPr/>
          <w:p>
            <w:pPr>
              <w:pStyle w:val="Compact"/>
            </w:pPr>
            <w:r>
              <w:t xml:space="preserve">2,48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primário de 2025 mantido</w:t>
            </w:r>
          </w:p>
        </w:tc>
        <w:tc>
          <w:tcPr/>
          <w:p>
            <w:pPr>
              <w:pStyle w:val="Compact"/>
            </w:pPr>
            <w:r>
              <w:t xml:space="preserve">0,46</w:t>
            </w:r>
          </w:p>
        </w:tc>
        <w:tc>
          <w:tcPr/>
          <w:p>
            <w:pPr>
              <w:pStyle w:val="Compact"/>
            </w:pPr>
            <w:r>
              <w:t xml:space="preserve">Envelhecimento</w:t>
            </w:r>
          </w:p>
        </w:tc>
        <w:tc>
          <w:tcPr/>
          <w:p>
            <w:pPr>
              <w:pStyle w:val="Compact"/>
            </w:pPr>
            <w:r>
              <w:t xml:space="preserve">2,72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Aumento do déficit RGPS + BPC</w:t>
            </w:r>
          </w:p>
        </w:tc>
        <w:tc>
          <w:tcPr/>
          <w:p>
            <w:pPr>
              <w:pStyle w:val="Compact"/>
            </w:pPr>
            <w:r>
              <w:t xml:space="preserve">2,17</w:t>
            </w:r>
          </w:p>
        </w:tc>
        <w:tc>
          <w:tcPr/>
          <w:p>
            <w:pPr>
              <w:pStyle w:val="Compact"/>
            </w:pPr>
            <w:r>
              <w:t xml:space="preserve">Ganho real do salário mínimo</w:t>
            </w:r>
          </w:p>
        </w:tc>
        <w:tc>
          <w:tcPr/>
          <w:p>
            <w:pPr>
              <w:pStyle w:val="Compact"/>
            </w:pPr>
            <w:r>
              <w:t xml:space="preserve">0,74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5,93</w:t>
            </w:r>
          </w:p>
        </w:tc>
      </w:tr>
    </w:tbl>
    <w:bookmarkEnd w:id="39"/>
    <w:bookmarkStart w:id="43" w:name="Xc04657f8c903cf31d5395bb1cdc1ea6b6b9d046"/>
    <w:p>
      <w:pPr>
        <w:pStyle w:val="Heading3"/>
      </w:pPr>
      <w:r>
        <w:t xml:space="preserve">5.7 Crescimento, produtividade e emprego formal</w:t>
      </w:r>
    </w:p>
    <w:p>
      <w:pPr>
        <w:pStyle w:val="FirstParagraph"/>
      </w:pPr>
      <w:r>
        <w:t xml:space="preserve">A Figura 6 e a Tabela 7 alteram uma hipótese por vez. Quatro resultados se destacam: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Produtividade e juro dominam.</w:t>
      </w:r>
      <w:r>
        <w:t xml:space="preserve"> </w:t>
      </w:r>
      <w:r>
        <w:t xml:space="preserve">Produtividade de 1,8% em vez de 1,0% ao ano reduz o ajuste em 1,2 p.p.; de 0,3%, eleva-o em 1,2 p.p. Juro real de 3,5% ou 6,5% muda o ajuste em cerca de 1,1 p.p. para cada lado. Não é coincidência: as duas hipóteses definem a diferença entre juro e crescimento.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 valor dos benefícios importa muito.</w:t>
      </w:r>
      <w:r>
        <w:t xml:space="preserve"> </w:t>
      </w:r>
      <w:r>
        <w:t xml:space="preserve">Se a deriva de composição voltasse ao padrão anterior à reforma (+0,9% ao ano), o ajuste subiria 1,7 p.p., a maior sensibilidade da tabela. Se o salário mínimo não tivesse ganho real, cairia 0,9 p.p.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Emprego formal e ocupação importam menos do que se imagina.</w:t>
      </w:r>
      <w:r>
        <w:t xml:space="preserve"> </w:t>
      </w:r>
      <w:r>
        <w:t xml:space="preserve">Formalização 8% maior em 2050 reduz o déficit RGPS + BPC de 2050 em 0,4 p.p. do PIB, mas o ajuste necessário em só 0,2 p.p.; ocupação 4% maior, em 0,15 p.p. Mais contribuintes elevam a receita, mas também, no futuro, o número de benefícios. E mais ocupação eleva o PIB só enquanto dura a transição.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tendência das taxas por idade pesa pouco.</w:t>
      </w:r>
      <w:r>
        <w:t xml:space="preserve"> </w:t>
      </w:r>
      <w:r>
        <w:t xml:space="preserve">Manter as taxas de 2024 ou prolongar 1,5 vez a tendência observada altera o ajuste em no máximo 0,2 p.p., porque as quedas entre 45 e 64 anos são parcialmente compensadas pelas altas acima de 65.</w:t>
      </w:r>
    </w:p>
    <w:p>
      <w:pPr>
        <w:pStyle w:val="CaptionedFigure"/>
      </w:pPr>
      <w:r>
        <w:drawing>
          <wp:inline>
            <wp:extent cx="5334000" cy="2604976"/>
            <wp:effectExtent b="0" l="0" r="0" t="0"/>
            <wp:docPr descr="Figura 6 – Sensibilidade" title="" id="41" name="Picture"/>
            <a:graphic>
              <a:graphicData uri="http://schemas.openxmlformats.org/drawingml/2006/picture">
                <pic:pic>
                  <pic:nvPicPr>
                    <pic:cNvPr descr="figuras/fig6_sensibilidad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 – Sensibilidade</w:t>
      </w:r>
    </w:p>
    <w:p>
      <w:pPr>
        <w:pStyle w:val="BodyText"/>
      </w:pPr>
      <w:r>
        <w:rPr>
          <w:b/>
          <w:bCs/>
        </w:rPr>
        <w:t xml:space="preserve">Tabela 7 – Sensibilidade (uma hipótese por vez)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</w:t>
            </w:r>
          </w:p>
        </w:tc>
        <w:tc>
          <w:tcPr/>
          <w:p>
            <w:pPr>
              <w:pStyle w:val="Compact"/>
            </w:pPr>
            <w:r>
              <w:t xml:space="preserve">Déficit RGPS+BPC 2050 (% PIB)</w:t>
            </w:r>
          </w:p>
        </w:tc>
        <w:tc>
          <w:tcPr/>
          <w:p>
            <w:pPr>
              <w:pStyle w:val="Compact"/>
            </w:pPr>
            <w:r>
              <w:t xml:space="preserve">Ano em que a dívida passa de 100%</w:t>
            </w:r>
          </w:p>
        </w:tc>
        <w:tc>
          <w:tcPr/>
          <w:p>
            <w:pPr>
              <w:pStyle w:val="Compact"/>
            </w:pPr>
            <w:r>
              <w:t xml:space="preserve">Ajuste necessário (p.p.)</w:t>
            </w:r>
          </w:p>
        </w:tc>
        <w:tc>
          <w:tcPr/>
          <w:p>
            <w:pPr>
              <w:pStyle w:val="Compact"/>
            </w:pPr>
            <w:r>
              <w:t xml:space="preserve">Diferença p/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</w:t>
            </w:r>
          </w:p>
        </w:tc>
        <w:tc>
          <w:tcPr/>
          <w:p>
            <w:pPr>
              <w:pStyle w:val="Compact"/>
            </w:pPr>
            <w:r>
              <w:t xml:space="preserve">8,20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5,93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Produtividade 0,3% a.a.</w:t>
            </w:r>
          </w:p>
        </w:tc>
        <w:tc>
          <w:tcPr/>
          <w:p>
            <w:pPr>
              <w:pStyle w:val="Compact"/>
            </w:pPr>
            <w:r>
              <w:t xml:space="preserve">10,12</w:t>
            </w:r>
          </w:p>
        </w:tc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7,11</w:t>
            </w:r>
          </w:p>
        </w:tc>
        <w:tc>
          <w:tcPr/>
          <w:p>
            <w:pPr>
              <w:pStyle w:val="Compact"/>
            </w:pPr>
            <w:r>
              <w:t xml:space="preserve">+1,18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Produtividade 1,8% a.a.</w:t>
            </w:r>
          </w:p>
        </w:tc>
        <w:tc>
          <w:tcPr/>
          <w:p>
            <w:pPr>
              <w:pStyle w:val="Compact"/>
            </w:pPr>
            <w:r>
              <w:t xml:space="preserve">6,77</w:t>
            </w:r>
          </w:p>
        </w:tc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</w:pPr>
            <w:r>
              <w:t xml:space="preserve">4,71</w:t>
            </w:r>
          </w:p>
        </w:tc>
        <w:tc>
          <w:tcPr/>
          <w:p>
            <w:pPr>
              <w:pStyle w:val="Compact"/>
            </w:pPr>
            <w:r>
              <w:t xml:space="preserve">−1,22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Formalização −8% em 2050</w:t>
            </w:r>
          </w:p>
        </w:tc>
        <w:tc>
          <w:tcPr/>
          <w:p>
            <w:pPr>
              <w:pStyle w:val="Compact"/>
            </w:pPr>
            <w:r>
              <w:t xml:space="preserve">8,63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6,13</w:t>
            </w:r>
          </w:p>
        </w:tc>
        <w:tc>
          <w:tcPr/>
          <w:p>
            <w:pPr>
              <w:pStyle w:val="Compact"/>
            </w:pPr>
            <w:r>
              <w:t xml:space="preserve">+0,20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Formalização +8% em 2050</w:t>
            </w:r>
          </w:p>
        </w:tc>
        <w:tc>
          <w:tcPr/>
          <w:p>
            <w:pPr>
              <w:pStyle w:val="Compact"/>
            </w:pPr>
            <w:r>
              <w:t xml:space="preserve">7,76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5,74</w:t>
            </w:r>
          </w:p>
        </w:tc>
        <w:tc>
          <w:tcPr/>
          <w:p>
            <w:pPr>
              <w:pStyle w:val="Compact"/>
            </w:pPr>
            <w:r>
              <w:t xml:space="preserve">−0,20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Ocupação −4% em 2050</w:t>
            </w:r>
          </w:p>
        </w:tc>
        <w:tc>
          <w:tcPr/>
          <w:p>
            <w:pPr>
              <w:pStyle w:val="Compact"/>
            </w:pPr>
            <w:r>
              <w:t xml:space="preserve">8,34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6,08</w:t>
            </w:r>
          </w:p>
        </w:tc>
        <w:tc>
          <w:tcPr/>
          <w:p>
            <w:pPr>
              <w:pStyle w:val="Compact"/>
            </w:pPr>
            <w:r>
              <w:t xml:space="preserve">+0,15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Ocupação +4% em 2050</w:t>
            </w:r>
          </w:p>
        </w:tc>
        <w:tc>
          <w:tcPr/>
          <w:p>
            <w:pPr>
              <w:pStyle w:val="Compact"/>
            </w:pPr>
            <w:r>
              <w:t xml:space="preserve">8,11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5,79</w:t>
            </w:r>
          </w:p>
        </w:tc>
        <w:tc>
          <w:tcPr/>
          <w:p>
            <w:pPr>
              <w:pStyle w:val="Compact"/>
            </w:pPr>
            <w:r>
              <w:t xml:space="preserve">−0,14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Juro real 3,5%</w:t>
            </w:r>
          </w:p>
        </w:tc>
        <w:tc>
          <w:tcPr/>
          <w:p>
            <w:pPr>
              <w:pStyle w:val="Compact"/>
            </w:pPr>
            <w:r>
              <w:t xml:space="preserve">8,20</w:t>
            </w:r>
          </w:p>
        </w:tc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</w:pPr>
            <w:r>
              <w:t xml:space="preserve">4,78</w:t>
            </w:r>
          </w:p>
        </w:tc>
        <w:tc>
          <w:tcPr/>
          <w:p>
            <w:pPr>
              <w:pStyle w:val="Compact"/>
            </w:pPr>
            <w:r>
              <w:t xml:space="preserve">−1,15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Juro real 6,5%</w:t>
            </w:r>
          </w:p>
        </w:tc>
        <w:tc>
          <w:tcPr/>
          <w:p>
            <w:pPr>
              <w:pStyle w:val="Compact"/>
            </w:pPr>
            <w:r>
              <w:t xml:space="preserve">8,20</w:t>
            </w:r>
          </w:p>
        </w:tc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+1,10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Taxas de benefício de 2024 constantes</w:t>
            </w:r>
          </w:p>
        </w:tc>
        <w:tc>
          <w:tcPr/>
          <w:p>
            <w:pPr>
              <w:pStyle w:val="Compact"/>
            </w:pPr>
            <w:r>
              <w:t xml:space="preserve">7,89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5,88</w:t>
            </w:r>
          </w:p>
        </w:tc>
        <w:tc>
          <w:tcPr/>
          <w:p>
            <w:pPr>
              <w:pStyle w:val="Compact"/>
            </w:pPr>
            <w:r>
              <w:t xml:space="preserve">−0,05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Tendência das taxas 1,5 vez a observada</w:t>
            </w:r>
          </w:p>
        </w:tc>
        <w:tc>
          <w:tcPr/>
          <w:p>
            <w:pPr>
              <w:pStyle w:val="Compact"/>
            </w:pPr>
            <w:r>
              <w:t xml:space="preserve">8,76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6,13</w:t>
            </w:r>
          </w:p>
        </w:tc>
        <w:tc>
          <w:tcPr/>
          <w:p>
            <w:pPr>
              <w:pStyle w:val="Compact"/>
            </w:pPr>
            <w:r>
              <w:t xml:space="preserve">+0,20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 sem ganho real</w:t>
            </w:r>
          </w:p>
        </w:tc>
        <w:tc>
          <w:tcPr/>
          <w:p>
            <w:pPr>
              <w:pStyle w:val="Compact"/>
            </w:pPr>
            <w:r>
              <w:t xml:space="preserve">6,34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5,06</w:t>
            </w:r>
          </w:p>
        </w:tc>
        <w:tc>
          <w:tcPr/>
          <w:p>
            <w:pPr>
              <w:pStyle w:val="Compact"/>
            </w:pPr>
            <w:r>
              <w:t xml:space="preserve">−0,88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 acompanha a produtividade</w:t>
            </w:r>
          </w:p>
        </w:tc>
        <w:tc>
          <w:tcPr/>
          <w:p>
            <w:pPr>
              <w:pStyle w:val="Compact"/>
            </w:pPr>
            <w:r>
              <w:t xml:space="preserve">7,94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5,70</w:t>
            </w:r>
          </w:p>
        </w:tc>
        <w:tc>
          <w:tcPr/>
          <w:p>
            <w:pPr>
              <w:pStyle w:val="Compact"/>
            </w:pPr>
            <w:r>
              <w:t xml:space="preserve">−0,24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Deriva de composição pré-reforma</w:t>
            </w:r>
          </w:p>
        </w:tc>
        <w:tc>
          <w:tcPr/>
          <w:p>
            <w:pPr>
              <w:pStyle w:val="Compact"/>
            </w:pPr>
            <w:r>
              <w:t xml:space="preserve">12,55</w:t>
            </w:r>
          </w:p>
        </w:tc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7,59</w:t>
            </w:r>
          </w:p>
        </w:tc>
        <w:tc>
          <w:tcPr/>
          <w:p>
            <w:pPr>
              <w:pStyle w:val="Compact"/>
            </w:pPr>
            <w:r>
              <w:t xml:space="preserve">+1,66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Deriva de composição nula</w:t>
            </w:r>
          </w:p>
        </w:tc>
        <w:tc>
          <w:tcPr/>
          <w:p>
            <w:pPr>
              <w:pStyle w:val="Compact"/>
            </w:pPr>
            <w:r>
              <w:t xml:space="preserve">9,27</w:t>
            </w:r>
          </w:p>
        </w:tc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</w:pPr>
            <w:r>
              <w:t xml:space="preserve">6,36</w:t>
            </w:r>
          </w:p>
        </w:tc>
        <w:tc>
          <w:tcPr/>
          <w:p>
            <w:pPr>
              <w:pStyle w:val="Compact"/>
            </w:pPr>
            <w:r>
              <w:t xml:space="preserve">+0,42</w:t>
            </w:r>
          </w:p>
        </w:tc>
      </w:tr>
    </w:tbl>
    <w:bookmarkEnd w:id="43"/>
    <w:bookmarkEnd w:id="44"/>
    <w:bookmarkStart w:id="49" w:name="discussão"/>
    <w:p>
      <w:pPr>
        <w:pStyle w:val="Heading2"/>
      </w:pPr>
      <w:r>
        <w:t xml:space="preserve">6. Discussão</w:t>
      </w:r>
    </w:p>
    <w:bookmarkStart w:id="45" w:name="o-que-é-hipótese-e-o-que-é-achado"/>
    <w:p>
      <w:pPr>
        <w:pStyle w:val="Heading3"/>
      </w:pPr>
      <w:r>
        <w:t xml:space="preserve">6.1 O que é hipótese e o que é achado</w:t>
      </w:r>
    </w:p>
    <w:p>
      <w:pPr>
        <w:pStyle w:val="FirstParagraph"/>
      </w:pPr>
      <w:r>
        <w:t xml:space="preserve">É preciso separar o que vem dos dados do que vem das hipóteses: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Vêm dos dados:</w:t>
      </w:r>
      <w:r>
        <w:t xml:space="preserve"> </w:t>
      </w:r>
      <w:r>
        <w:t xml:space="preserve">o ritmo do envelhecimento (IBGE), os perfis etários de benefícios e contribuintes (AEPS), a parcela do valor pago no piso, a mudança da deriva do benefício médio depois da EC 103, a ausência de reação fiscal estabilizadora em 2007–2025 e o juro real historicamente acima do crescimento.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Vêm das hipóteses:</w:t>
      </w:r>
      <w:r>
        <w:t xml:space="preserve"> </w:t>
      </w:r>
      <w:r>
        <w:t xml:space="preserve">salários que acompanham a produtividade (e, logo, receita que só se move com a razão entre contribuintes e ocupados e com a formalização); produtividade futura de 1% ao ano; juro real futuro igual à média histórica; e resultado primário fora do RGPS e do BPC constante no nível de 2025. Esta última isola o efeito previdenciário, mas não é uma previsão da política fiscal.</w:t>
      </w:r>
    </w:p>
    <w:p>
      <w:pPr>
        <w:pStyle w:val="FirstParagraph"/>
      </w:pPr>
      <w:r>
        <w:t xml:space="preserve">A frase</w:t>
      </w:r>
      <w:r>
        <w:t xml:space="preserve"> </w:t>
      </w:r>
      <w:r>
        <w:t xml:space="preserve">“o problema é de despesa”</w:t>
      </w:r>
      <w:r>
        <w:t xml:space="preserve"> </w:t>
      </w:r>
      <w:r>
        <w:t xml:space="preserve">deve ser lida nesses termos. Sob participação salarial constante, a receita previdenciária em proporção do PIB quase não muda, e toda a pressão demográfica aparece na despesa. Se o envelhecimento reduzisse a participação dos salários no PIB, por exemplo porque mais renda passasse a vir de capital e de aposentadorias, a receita cairia e o déficit seria maior.</w:t>
      </w:r>
    </w:p>
    <w:bookmarkEnd w:id="45"/>
    <w:bookmarkStart w:id="46" w:name="escopo-o-que-fica-de-fora"/>
    <w:p>
      <w:pPr>
        <w:pStyle w:val="Heading3"/>
      </w:pPr>
      <w:r>
        <w:t xml:space="preserve">6.2 Escopo: o que fica de fora</w:t>
      </w:r>
    </w:p>
    <w:p>
      <w:pPr>
        <w:pStyle w:val="FirstParagraph"/>
      </w:pPr>
      <w:r>
        <w:t xml:space="preserve">O título fala de dívida pública, mas o modelo cobre só o RGPS e o BPC. Três omissões merecem registro: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RPPS da União.</w:t>
      </w:r>
      <w:r>
        <w:t xml:space="preserve"> </w:t>
      </w:r>
      <w:r>
        <w:t xml:space="preserve">A avaliação atuarial do PLDO 2027 (Anexo IV.11) projeta que o déficit dos servidores civis da União, em grupo fechado, cai de 0,73% do PIB em 2026 para 0,42% em 2050, graças à previdência complementar dos novos servidores. Incluí-lo reduziria ligeiramente a pressão projetada.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RPPS de estados e municípios.</w:t>
      </w:r>
      <w:r>
        <w:t xml:space="preserve"> </w:t>
      </w:r>
      <w:r>
        <w:t xml:space="preserve">Fazem parte da dívida do governo geral e enfrentam envelhecimento semelhante, com reformas em estágios diferentes. Omiti-los subestima a pressão.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Saúde.</w:t>
      </w:r>
      <w:r>
        <w:t xml:space="preserve"> </w:t>
      </w:r>
      <w:r>
        <w:t xml:space="preserve">O gasto público com saúde cresce com a idade da população. Omiti-lo também subestima a pressão.</w:t>
      </w:r>
    </w:p>
    <w:p>
      <w:pPr>
        <w:pStyle w:val="FirstParagraph"/>
      </w:pPr>
      <w:r>
        <w:t xml:space="preserve">Por isso, os números deste artigo devem ser lidos como a parcela do problema fiscal devida ao RGPS e ao BPC, e não como o efeito total do envelhecimento sobre as contas públicas.</w:t>
      </w:r>
    </w:p>
    <w:bookmarkEnd w:id="46"/>
    <w:bookmarkStart w:id="47" w:name="outras-limitações"/>
    <w:p>
      <w:pPr>
        <w:pStyle w:val="Heading3"/>
      </w:pPr>
      <w:r>
        <w:t xml:space="preserve">6.3 Outras limitações</w:t>
      </w:r>
    </w:p>
    <w:p>
      <w:pPr>
        <w:pStyle w:val="Compact"/>
        <w:numPr>
          <w:ilvl w:val="0"/>
          <w:numId w:val="1013"/>
        </w:numPr>
      </w:pPr>
      <w:r>
        <w:t xml:space="preserve">O modelo projeta estoques por idade, não coortes com histórico contributivo. Tende, assim, a captar com atraso os efeitos das idades mínimas sobre as aposentadorias abaixo de 62 e 65 anos, embora a deriva de composição pós-reforma e a tendência das taxas absorvam parte disso.</w:t>
      </w:r>
    </w:p>
    <w:p>
      <w:pPr>
        <w:pStyle w:val="Compact"/>
        <w:numPr>
          <w:ilvl w:val="0"/>
          <w:numId w:val="1013"/>
        </w:numPr>
      </w:pPr>
      <w:r>
        <w:t xml:space="preserve">A deriva pós-reforma é estimada com apenas cinco anos (2019–2024) e tem erro-padrão alto (1,5 p.p.). As simulações refletem essa incerteza, e a Tabela 7 mostra o custo de errar.</w:t>
      </w:r>
    </w:p>
    <w:p>
      <w:pPr>
        <w:pStyle w:val="Compact"/>
        <w:numPr>
          <w:ilvl w:val="0"/>
          <w:numId w:val="1013"/>
        </w:numPr>
      </w:pPr>
      <w:r>
        <w:t xml:space="preserve">A reação fiscal e o prêmio de risco são tratados de forma simples. Na prática, a política fiscal reage de modo não linear e sob regras (o arcabouço fiscal de 2023), e os juros podem saltar em crises.</w:t>
      </w:r>
    </w:p>
    <w:p>
      <w:pPr>
        <w:pStyle w:val="Compact"/>
        <w:numPr>
          <w:ilvl w:val="0"/>
          <w:numId w:val="1013"/>
        </w:numPr>
      </w:pPr>
      <w:r>
        <w:t xml:space="preserve">A receita não incorpora mudanças legais já aprovadas, como a reoneração gradual da folha, que explica parte da diferença de 0,13 p.p. entre o projetado e o observado em 2025.</w:t>
      </w:r>
    </w:p>
    <w:bookmarkEnd w:id="47"/>
    <w:bookmarkStart w:id="48" w:name="implicações-de-política"/>
    <w:p>
      <w:pPr>
        <w:pStyle w:val="Heading3"/>
      </w:pPr>
      <w:r>
        <w:t xml:space="preserve">6.4 Implicações de política</w:t>
      </w:r>
    </w:p>
    <w:p>
      <w:pPr>
        <w:pStyle w:val="FirstParagraph"/>
      </w:pPr>
      <w:r>
        <w:t xml:space="preserve">Os resultados sugerem três prioridades: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Juro e crescimento pesam tanto quanto a Previdência.</w:t>
      </w:r>
      <w:r>
        <w:t xml:space="preserve"> </w:t>
      </w:r>
      <w:r>
        <w:t xml:space="preserve">Mais da metade do ajuste necessário vem de o juro real superar o crescimento sobre a dívida já existente. Credibilidade fiscal que reduza o juro real e reformas que elevem a produtividade valem, cada uma, mais de 1 p.p. do PIB por ano de ajuste.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 regras de valor dos benefícios são decisivas.</w:t>
      </w:r>
      <w:r>
        <w:t xml:space="preserve"> </w:t>
      </w:r>
      <w:r>
        <w:t xml:space="preserve">A reforma de 2019 já inverteu a deriva do benefício médio; se ela voltasse ao padrão anterior, o custo seria de 1,7 p.p. por ano. A vinculação do piso ao salário mínimo e a regra de ganho real do mínimo custam cerca de 0,9 p.p.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formalização ajuda o caixa hoje, mas não resolve o problema.</w:t>
      </w:r>
      <w:r>
        <w:t xml:space="preserve"> </w:t>
      </w:r>
      <w:r>
        <w:t xml:space="preserve">Como cada novo contribuinte será também um futuro beneficiário, o efeito líquido sobre o ajuste de longo prazo é pequeno. A formalização é desejável por outras razões, como proteção social e produtividade, mas não substitui ajustes de regra.</w:t>
      </w:r>
    </w:p>
    <w:bookmarkEnd w:id="48"/>
    <w:bookmarkEnd w:id="49"/>
    <w:bookmarkStart w:id="50" w:name="conclusão"/>
    <w:p>
      <w:pPr>
        <w:pStyle w:val="Heading2"/>
      </w:pPr>
      <w:r>
        <w:t xml:space="preserve">7. Conclusão</w:t>
      </w:r>
    </w:p>
    <w:p>
      <w:pPr>
        <w:pStyle w:val="FirstParagraph"/>
      </w:pPr>
      <w:r>
        <w:t xml:space="preserve">Com dados oficiais por sexo e idade, parâmetros calibrados e validação retroativa, este artigo mostra que o envelhecimento da população brasileira deve levar a relação entre contribuintes e benefícios do RGPS de 1,8 para 1,0 até 2050, e o déficit conjunto do RGPS e do BPC de 3,5% para cerca de 8% do PIB no cenário central (6,3% a 11,0% entre os cenários). Sem mudança de política, a dívida bruta cruzaria 100% do PIB por volta de 2030 na maioria das simulações.</w:t>
      </w:r>
    </w:p>
    <w:p>
      <w:pPr>
        <w:pStyle w:val="BodyText"/>
      </w:pPr>
      <w:r>
        <w:t xml:space="preserve">A resposta mais útil à pergunta de pesquisa, porém, não é um nível de dívida em 2050, e sim o tamanho do ajuste que evitaria a trajetória explosiva: cerca de 6 p.p. do PIB por ano a partir de 2027, com amplo intervalo de incerteza (2 a 11 p.p.). O envelhecimento responde por pouco menos da metade desse esforço. O restante vem, sobretudo, do juro real alto sobre a dívida já acumulada. Por isso, a agenda previdenciária, que trata das regras de valor e de acesso aos benefícios, e a agenda macroeconômica, que trata de produtividade e credibilidade para reduzir o juro, precisam andar juntas.</w:t>
      </w:r>
    </w:p>
    <w:bookmarkEnd w:id="50"/>
    <w:bookmarkStart w:id="51" w:name="referências"/>
    <w:p>
      <w:pPr>
        <w:pStyle w:val="Heading2"/>
      </w:pPr>
      <w:r>
        <w:t xml:space="preserve">Referências</w:t>
      </w:r>
    </w:p>
    <w:p>
      <w:pPr>
        <w:pStyle w:val="FirstParagraph"/>
      </w:pPr>
      <w:r>
        <w:t xml:space="preserve">BLANCHARD, O. Public debt and low interest rates.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, v. 109, n. 4, p. 1197–1229, 2019.</w:t>
      </w:r>
    </w:p>
    <w:p>
      <w:pPr>
        <w:pStyle w:val="BodyText"/>
      </w:pPr>
      <w:r>
        <w:t xml:space="preserve">BLANCHARD, O.; CHOURAQUI, J.-C.; HAGEMANN, R.; SARTOR, N. The sustainability of fiscal policy: new answers to an old question.</w:t>
      </w:r>
      <w:r>
        <w:t xml:space="preserve"> </w:t>
      </w:r>
      <w:r>
        <w:rPr>
          <w:i/>
          <w:iCs/>
        </w:rPr>
        <w:t xml:space="preserve">OECD Economic Studies</w:t>
      </w:r>
      <w:r>
        <w:t xml:space="preserve">, n. 15, p. 7–36, 1990.</w:t>
      </w:r>
    </w:p>
    <w:p>
      <w:pPr>
        <w:pStyle w:val="BodyText"/>
      </w:pPr>
      <w:r>
        <w:t xml:space="preserve">BLOOM, D. E.; CANNING, D.; FINK, G. Implications of population ageing for economic growth.</w:t>
      </w:r>
      <w:r>
        <w:t xml:space="preserve"> </w:t>
      </w:r>
      <w:r>
        <w:rPr>
          <w:i/>
          <w:iCs/>
        </w:rPr>
        <w:t xml:space="preserve">Oxford Review of Economic Policy</w:t>
      </w:r>
      <w:r>
        <w:t xml:space="preserve">, v. 26, n. 4, p. 583–612, 2010.</w:t>
      </w:r>
    </w:p>
    <w:p>
      <w:pPr>
        <w:pStyle w:val="BodyText"/>
      </w:pPr>
      <w:r>
        <w:t xml:space="preserve">BOHN, H. The behavior of U.S. public debt and deficits.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 v. 113, n. 3, p. 949–963, 1998.</w:t>
      </w:r>
    </w:p>
    <w:p>
      <w:pPr>
        <w:pStyle w:val="BodyText"/>
      </w:pPr>
      <w:r>
        <w:t xml:space="preserve">BRASIL. Ministério da Previdência Social.</w:t>
      </w:r>
      <w:r>
        <w:t xml:space="preserve"> </w:t>
      </w:r>
      <w:r>
        <w:rPr>
          <w:i/>
          <w:iCs/>
        </w:rPr>
        <w:t xml:space="preserve">Anuário Estatístico da Previdência Social 2024</w:t>
      </w:r>
      <w:r>
        <w:t xml:space="preserve">. Brasília: MPS, 2025. Também: AEPS 2012 e Suplemento Histórico 2023.</w:t>
      </w:r>
    </w:p>
    <w:p>
      <w:pPr>
        <w:pStyle w:val="BodyText"/>
      </w:pPr>
      <w:r>
        <w:t xml:space="preserve">BRASIL. Ministério do Planejamento e Orçamento.</w:t>
      </w:r>
      <w:r>
        <w:t xml:space="preserve"> </w:t>
      </w:r>
      <w:r>
        <w:rPr>
          <w:i/>
          <w:iCs/>
        </w:rPr>
        <w:t xml:space="preserve">Projeto de Lei de Diretrizes Orçamentárias para 2027</w:t>
      </w:r>
      <w:r>
        <w:t xml:space="preserve">: Anexo IV.10 – Avaliação atuarial do RGPS; Anexo IV.11 – Avaliação atuarial do RPPS da União. Brasília: MPO, 2026.</w:t>
      </w:r>
    </w:p>
    <w:p>
      <w:pPr>
        <w:pStyle w:val="BodyText"/>
      </w:pPr>
      <w:r>
        <w:t xml:space="preserve">BRASIL. Tesouro Nacional.</w:t>
      </w:r>
      <w:r>
        <w:t xml:space="preserve"> </w:t>
      </w:r>
      <w:r>
        <w:rPr>
          <w:i/>
          <w:iCs/>
        </w:rPr>
        <w:t xml:space="preserve">Resultado do Tesouro Nacional – série histórica</w:t>
      </w:r>
      <w:r>
        <w:t xml:space="preserve">;</w:t>
      </w:r>
      <w:r>
        <w:t xml:space="preserve"> </w:t>
      </w:r>
      <w:r>
        <w:rPr>
          <w:i/>
          <w:iCs/>
        </w:rPr>
        <w:t xml:space="preserve">Fatores de variação da Dívida Pública Federal</w:t>
      </w:r>
      <w:r>
        <w:t xml:space="preserve">. Brasília: STN, 2026.</w:t>
      </w:r>
    </w:p>
    <w:p>
      <w:pPr>
        <w:pStyle w:val="BodyText"/>
      </w:pPr>
      <w:r>
        <w:t xml:space="preserve">BANCO CENTRAL DO BRASIL.</w:t>
      </w:r>
      <w:r>
        <w:t xml:space="preserve"> </w:t>
      </w:r>
      <w:r>
        <w:rPr>
          <w:i/>
          <w:iCs/>
        </w:rPr>
        <w:t xml:space="preserve">Sistema Gerenciador de Séries Temporais (SGS)</w:t>
      </w:r>
      <w:r>
        <w:t xml:space="preserve">: séries 433, 1619, 4382, 5727, 5793, 7326 e 13762. Brasília: BCB, 2026.</w:t>
      </w:r>
    </w:p>
    <w:p>
      <w:pPr>
        <w:pStyle w:val="BodyText"/>
      </w:pPr>
      <w:r>
        <w:t xml:space="preserve">CAMARANO, A. A. (Org.).</w:t>
      </w:r>
      <w:r>
        <w:t xml:space="preserve"> </w:t>
      </w:r>
      <w:r>
        <w:rPr>
          <w:i/>
          <w:iCs/>
        </w:rPr>
        <w:t xml:space="preserve">Novo regime demográfico: uma nova relação entre população e desenvolvimento?</w:t>
      </w:r>
      <w:r>
        <w:t xml:space="preserve"> </w:t>
      </w:r>
      <w:r>
        <w:t xml:space="preserve">Rio de Janeiro: Ipea, 2014.</w:t>
      </w:r>
    </w:p>
    <w:p>
      <w:pPr>
        <w:pStyle w:val="BodyText"/>
      </w:pPr>
      <w:r>
        <w:t xml:space="preserve">CELASUN, O.; DEBRUN, X.; OSTRY, J. D. Primary surplus behavior and risks to fiscal sustainability in emerging market countries: a</w:t>
      </w:r>
      <w:r>
        <w:t xml:space="preserve"> </w:t>
      </w:r>
      <w:r>
        <w:t xml:space="preserve">“fan-chart”</w:t>
      </w:r>
      <w:r>
        <w:t xml:space="preserve"> </w:t>
      </w:r>
      <w:r>
        <w:t xml:space="preserve">approach.</w:t>
      </w:r>
      <w:r>
        <w:t xml:space="preserve"> </w:t>
      </w:r>
      <w:r>
        <w:rPr>
          <w:i/>
          <w:iCs/>
        </w:rPr>
        <w:t xml:space="preserve">IMF Staff Papers</w:t>
      </w:r>
      <w:r>
        <w:t xml:space="preserve">, v. 53, n. 3, p. 401–425, 2006.</w:t>
      </w:r>
    </w:p>
    <w:p>
      <w:pPr>
        <w:pStyle w:val="BodyText"/>
      </w:pPr>
      <w:r>
        <w:t xml:space="preserve">GHOSH, A. R.; KIM, J. I.; MENDOZA, E. G.; OSTRY, J. D.; QURESHI, M. S. Fiscal fatigue, fiscal space and debt sustainability in advanced economies.</w:t>
      </w:r>
      <w:r>
        <w:t xml:space="preserve"> </w:t>
      </w:r>
      <w:r>
        <w:rPr>
          <w:i/>
          <w:iCs/>
        </w:rPr>
        <w:t xml:space="preserve">Economic Journal</w:t>
      </w:r>
      <w:r>
        <w:t xml:space="preserve">, v. 123, n. 566, p. F4–F30, 2013.</w:t>
      </w:r>
    </w:p>
    <w:p>
      <w:pPr>
        <w:pStyle w:val="BodyText"/>
      </w:pPr>
      <w:r>
        <w:t xml:space="preserve">GIAMBIAGI, F.; TAFNER, P.</w:t>
      </w:r>
      <w:r>
        <w:t xml:space="preserve"> </w:t>
      </w:r>
      <w:r>
        <w:rPr>
          <w:i/>
          <w:iCs/>
        </w:rPr>
        <w:t xml:space="preserve">Demografia: a ameaça invisível</w:t>
      </w:r>
      <w:r>
        <w:t xml:space="preserve">. Rio de Janeiro: Elsevier, 2010.</w:t>
      </w:r>
    </w:p>
    <w:p>
      <w:pPr>
        <w:pStyle w:val="BodyText"/>
      </w:pPr>
      <w:r>
        <w:t xml:space="preserve">IBGE.</w:t>
      </w:r>
      <w:r>
        <w:t xml:space="preserve"> </w:t>
      </w:r>
      <w:r>
        <w:rPr>
          <w:i/>
          <w:iCs/>
        </w:rPr>
        <w:t xml:space="preserve">Projeções da população: Brasil e Unidades da Federação – revisão 2024</w:t>
      </w:r>
      <w:r>
        <w:t xml:space="preserve">. Rio de Janeiro: IBGE, 2024.</w:t>
      </w:r>
    </w:p>
    <w:p>
      <w:pPr>
        <w:pStyle w:val="BodyText"/>
      </w:pPr>
      <w:r>
        <w:t xml:space="preserve">IBGE.</w:t>
      </w:r>
      <w:r>
        <w:t xml:space="preserve"> </w:t>
      </w:r>
      <w:r>
        <w:rPr>
          <w:i/>
          <w:iCs/>
        </w:rPr>
        <w:t xml:space="preserve">Pesquisa Nacional por Amostra de Domicílios Contínua</w:t>
      </w:r>
      <w:r>
        <w:t xml:space="preserve">, tabela 4094. Rio de Janeiro: IBGE, 2026.</w:t>
      </w:r>
    </w:p>
    <w:p>
      <w:pPr>
        <w:pStyle w:val="BodyText"/>
      </w:pPr>
      <w:r>
        <w:t xml:space="preserve">INSTITUIÇÃO FISCAL INDEPENDENTE.</w:t>
      </w:r>
      <w:r>
        <w:t xml:space="preserve"> </w:t>
      </w:r>
      <w:r>
        <w:rPr>
          <w:i/>
          <w:iCs/>
        </w:rPr>
        <w:t xml:space="preserve">Relatório de Acompanhamento Fiscal</w:t>
      </w:r>
      <w:r>
        <w:t xml:space="preserve">, n. 112, maio 2026. Brasília: Senado Federal, 2026.</w:t>
      </w:r>
    </w:p>
    <w:p>
      <w:pPr>
        <w:pStyle w:val="BodyText"/>
      </w:pPr>
      <w:r>
        <w:t xml:space="preserve">LAUBACH, T. New evidence on the interest rate effects of budget deficits and debt.</w:t>
      </w:r>
      <w:r>
        <w:t xml:space="preserve"> </w:t>
      </w:r>
      <w:r>
        <w:rPr>
          <w:i/>
          <w:iCs/>
        </w:rPr>
        <w:t xml:space="preserve">Journal of the European Economic Association</w:t>
      </w:r>
      <w:r>
        <w:t xml:space="preserve">, v. 7, n. 4, p. 858–885, 2009.</w:t>
      </w:r>
    </w:p>
    <w:p>
      <w:pPr>
        <w:pStyle w:val="BodyText"/>
      </w:pPr>
      <w:r>
        <w:t xml:space="preserve">LEE, R.; MASON, A. (Eds.).</w:t>
      </w:r>
      <w:r>
        <w:t xml:space="preserve"> </w:t>
      </w:r>
      <w:r>
        <w:rPr>
          <w:i/>
          <w:iCs/>
        </w:rPr>
        <w:t xml:space="preserve">Population aging and the generational economy: a global perspective</w:t>
      </w:r>
      <w:r>
        <w:t xml:space="preserve">. Cheltenham: Edward Elgar, 2011.</w:t>
      </w:r>
    </w:p>
    <w:p>
      <w:pPr>
        <w:pStyle w:val="BodyText"/>
      </w:pPr>
      <w:r>
        <w:t xml:space="preserve">MAESTAS, N.; MULLEN, K. J.; POWELL, D. The effect of population aging on economic growth, the labor force, and productivity.</w:t>
      </w:r>
      <w:r>
        <w:t xml:space="preserve"> </w:t>
      </w:r>
      <w:r>
        <w:rPr>
          <w:i/>
          <w:iCs/>
        </w:rPr>
        <w:t xml:space="preserve">American Economic Journal: Macroeconomics</w:t>
      </w:r>
      <w:r>
        <w:t xml:space="preserve">, v. 15, n. 2, p. 306–332, 2023.</w:t>
      </w:r>
    </w:p>
    <w:p>
      <w:pPr>
        <w:pStyle w:val="BodyText"/>
      </w:pPr>
      <w:r>
        <w:t xml:space="preserve">MELLO, L. de. Estimating a fiscal reaction function: the case of debt sustainability in Brazil.</w:t>
      </w:r>
      <w:r>
        <w:t xml:space="preserve"> </w:t>
      </w:r>
      <w:r>
        <w:rPr>
          <w:i/>
          <w:iCs/>
        </w:rPr>
        <w:t xml:space="preserve">Applied Economics</w:t>
      </w:r>
      <w:r>
        <w:t xml:space="preserve">, v. 40, n. 3, p. 271–284, 2008.</w:t>
      </w:r>
    </w:p>
    <w:p>
      <w:pPr>
        <w:pStyle w:val="BodyText"/>
      </w:pPr>
      <w:r>
        <w:t xml:space="preserve">MENDOZA, E. G.; OSTRY, J. D. International evidence on fiscal solvency: is fiscal policy</w:t>
      </w:r>
      <w:r>
        <w:t xml:space="preserve"> </w:t>
      </w:r>
      <w:r>
        <w:t xml:space="preserve">“responsible”</w:t>
      </w:r>
      <w:r>
        <w:t xml:space="preserve">?</w:t>
      </w:r>
      <w:r>
        <w:t xml:space="preserve"> </w:t>
      </w:r>
      <w:r>
        <w:rPr>
          <w:i/>
          <w:iCs/>
        </w:rPr>
        <w:t xml:space="preserve">Journal of Monetary Economics</w:t>
      </w:r>
      <w:r>
        <w:t xml:space="preserve">, v. 55, n. 6, p. 1081–1093, 2008.</w:t>
      </w:r>
    </w:p>
    <w:p>
      <w:pPr>
        <w:pStyle w:val="BodyText"/>
      </w:pPr>
      <w:r>
        <w:t xml:space="preserve">SHORROCKS, A. F. Decomposition procedures for distributional analysis: a unified framework based on the Shapley value.</w:t>
      </w:r>
      <w:r>
        <w:t xml:space="preserve"> </w:t>
      </w:r>
      <w:r>
        <w:rPr>
          <w:i/>
          <w:iCs/>
        </w:rPr>
        <w:t xml:space="preserve">Journal of Economic Inequality</w:t>
      </w:r>
      <w:r>
        <w:t xml:space="preserve">, v. 11, n. 1, p. 99–126, 2013.</w:t>
      </w:r>
    </w:p>
    <w:p>
      <w:r>
        <w:pict>
          <v:rect style="width:0;height:1.5pt" o:hralign="center" o:hrstd="t" o:hr="t"/>
        </w:pict>
      </w:r>
    </w:p>
    <w:bookmarkEnd w:id="51"/>
    <w:bookmarkStart w:id="52" w:name="apêndice-a-parâmetros-calibrados"/>
    <w:p>
      <w:pPr>
        <w:pStyle w:val="Heading2"/>
      </w:pPr>
      <w:r>
        <w:t xml:space="preserve">Apêndice A – Parâmetros calibrados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Como foi obtido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Grau de indexação ao salário mínimo (φ)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Parcela do valor do RGPS paga a quem recebe um piso, AEPS B.23, média 2011–2024 (0,40–0,42)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Deriva de composição, 2012–2019</w:t>
            </w:r>
          </w:p>
        </w:tc>
        <w:tc>
          <w:tcPr/>
          <w:p>
            <w:pPr>
              <w:pStyle w:val="Compact"/>
            </w:pPr>
            <w:r>
              <w:t xml:space="preserve">+0,89% a.a.</w:t>
            </w:r>
          </w:p>
        </w:tc>
        <w:tc>
          <w:tcPr/>
          <w:p>
            <w:pPr>
              <w:pStyle w:val="Compact"/>
            </w:pPr>
            <w:r>
              <w:t xml:space="preserve">Crescimento real do benefício médio menos φ × ganho real do 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Deriva de composição, 2019–2024 (central)</w:t>
            </w:r>
          </w:p>
        </w:tc>
        <w:tc>
          <w:tcPr/>
          <w:p>
            <w:pPr>
              <w:pStyle w:val="Compact"/>
            </w:pPr>
            <w:r>
              <w:t xml:space="preserve">−0,34% a.a. (e.p. 1,47)</w:t>
            </w:r>
          </w:p>
        </w:tc>
        <w:tc>
          <w:tcPr/>
          <w:p>
            <w:pPr>
              <w:pStyle w:val="Compact"/>
            </w:pPr>
            <w:r>
              <w:t xml:space="preserve">Idem, período pós-EC 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Tendência das taxas por idade</w:t>
            </w:r>
          </w:p>
        </w:tc>
        <w:tc>
          <w:tcPr/>
          <w:p>
            <w:pPr>
              <w:pStyle w:val="Compact"/>
            </w:pPr>
            <w:r>
              <w:t xml:space="preserve">variação 2012–2024 por sexo e faixa</w:t>
            </w:r>
          </w:p>
        </w:tc>
        <w:tc>
          <w:tcPr/>
          <w:p>
            <w:pPr>
              <w:pStyle w:val="Compact"/>
            </w:pPr>
            <w:r>
              <w:t xml:space="preserve">AEPS 2012 e 2024; intensidade decrescente até 2050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Produtividade do trabalho, 2013–2025</w:t>
            </w:r>
          </w:p>
        </w:tc>
        <w:tc>
          <w:tcPr/>
          <w:p>
            <w:pPr>
              <w:pStyle w:val="Compact"/>
            </w:pPr>
            <w:r>
              <w:t xml:space="preserve">+0,07% a.a. (central: 1,0%)</w:t>
            </w:r>
          </w:p>
        </w:tc>
        <w:tc>
          <w:tcPr/>
          <w:p>
            <w:pPr>
              <w:pStyle w:val="Compact"/>
            </w:pPr>
            <w:r>
              <w:t xml:space="preserve">PIB real (BCB) / ocupados (PNAD)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Juro real implícito da DPF, 2007–2025</w:t>
            </w:r>
          </w:p>
        </w:tc>
        <w:tc>
          <w:tcPr/>
          <w:p>
            <w:pPr>
              <w:pStyle w:val="Compact"/>
            </w:pPr>
            <w:r>
              <w:t xml:space="preserve">média 5,05%, d.p. 1,95, AR(1) 0,31; 2025: 7,45%</w:t>
            </w:r>
          </w:p>
        </w:tc>
        <w:tc>
          <w:tcPr/>
          <w:p>
            <w:pPr>
              <w:pStyle w:val="Compact"/>
            </w:pPr>
            <w:r>
              <w:t xml:space="preserve">Juros apropriados / estoque inicial (Tesouro), deflator IPCA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Crescimento real do PIB, 2007–2025</w:t>
            </w:r>
          </w:p>
        </w:tc>
        <w:tc>
          <w:tcPr/>
          <w:p>
            <w:pPr>
              <w:pStyle w:val="Compact"/>
            </w:pPr>
            <w:r>
              <w:t xml:space="preserve">média 2,05%, d.p. 2,85 (sem 2020), AR(1) 0,26</w:t>
            </w:r>
          </w:p>
        </w:tc>
        <w:tc>
          <w:tcPr/>
          <w:p>
            <w:pPr>
              <w:pStyle w:val="Compact"/>
            </w:pPr>
            <w:r>
              <w:t xml:space="preserve">BCB, série 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Correlação juro–crescimento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  <w:tc>
          <w:tcPr/>
          <w:p>
            <w:pPr>
              <w:pStyle w:val="Compact"/>
            </w:pPr>
            <w:r>
              <w:t xml:space="preserve">2007–2025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Reação fiscal (Bohn)</w:t>
            </w:r>
          </w:p>
        </w:tc>
        <w:tc>
          <w:tcPr/>
          <w:p>
            <w:pPr>
              <w:pStyle w:val="Compact"/>
            </w:pPr>
            <w:r>
              <w:t xml:space="preserve">−0,09 (e.p. 0,03), n = 18</w:t>
            </w:r>
          </w:p>
        </w:tc>
        <w:tc>
          <w:tcPr/>
          <w:p>
            <w:pPr>
              <w:pStyle w:val="Compact"/>
            </w:pPr>
            <w:r>
              <w:t xml:space="preserve">Primário do setor público sobre dívida defasada e crescimento, 2007–2025 exceto 2020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Prêmio de risco</w:t>
            </w:r>
          </w:p>
        </w:tc>
        <w:tc>
          <w:tcPr/>
          <w:p>
            <w:pPr>
              <w:pStyle w:val="Compact"/>
            </w:pPr>
            <w:r>
              <w:t xml:space="preserve">0 a 4 p.b. por p.p. de dívida</w:t>
            </w:r>
          </w:p>
        </w:tc>
        <w:tc>
          <w:tcPr/>
          <w:p>
            <w:pPr>
              <w:pStyle w:val="Compact"/>
            </w:pPr>
            <w:r>
              <w:t xml:space="preserve">Laubach (2009)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Regra do salário mínimo</w:t>
            </w:r>
          </w:p>
        </w:tc>
        <w:tc>
          <w:tcPr/>
          <w:p>
            <w:pPr>
              <w:pStyle w:val="Compact"/>
            </w:pPr>
            <w:r>
              <w:t xml:space="preserve">ganho real = PIB de t−2, entre 0,6% e 2,5%</w:t>
            </w:r>
          </w:p>
        </w:tc>
        <w:tc>
          <w:tcPr/>
          <w:p>
            <w:pPr>
              <w:pStyle w:val="Compact"/>
            </w:pPr>
            <w:r>
              <w:t xml:space="preserve">Regra vigente; 2025 e 2026 observados</w:t>
            </w:r>
          </w:p>
        </w:tc>
      </w:tr>
    </w:tbl>
    <w:bookmarkEnd w:id="52"/>
    <w:bookmarkStart w:id="53" w:name="apêndice-b-reprodutibilidade"/>
    <w:p>
      <w:pPr>
        <w:pStyle w:val="Heading2"/>
      </w:pPr>
      <w:r>
        <w:t xml:space="preserve">Apêndice B – Reprodutibilidade</w:t>
      </w:r>
    </w:p>
    <w:p>
      <w:pPr>
        <w:pStyle w:val="FirstParagraph"/>
      </w:pPr>
      <w:r>
        <w:t xml:space="preserve">O código está em</w:t>
      </w:r>
      <w:r>
        <w:t xml:space="preserve"> </w:t>
      </w:r>
      <w:r>
        <w:rPr>
          <w:rStyle w:val="VerbatimChar"/>
        </w:rPr>
        <w:t xml:space="preserve">codigo/</w:t>
      </w:r>
      <w:r>
        <w:t xml:space="preserve"> </w:t>
      </w:r>
      <w:r>
        <w:t xml:space="preserve">e roda com Python 3 (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,</w:t>
      </w:r>
      <w:r>
        <w:t xml:space="preserve"> </w:t>
      </w:r>
      <w:r>
        <w:rPr>
          <w:rStyle w:val="VerbatimChar"/>
        </w:rPr>
        <w:t xml:space="preserve">xlrd</w:t>
      </w:r>
      <w:r>
        <w:t xml:space="preserve">,</w:t>
      </w:r>
      <w:r>
        <w:t xml:space="preserve"> </w:t>
      </w:r>
      <w:r>
        <w:rPr>
          <w:rStyle w:val="VerbatimChar"/>
        </w:rPr>
        <w:t xml:space="preserve">pdfplumber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pandas numpy matplotlib openpyxl xlrd pdfplumber requests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codigo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00_baixar_dados.py     </w:t>
      </w:r>
      <w:r>
        <w:rPr>
          <w:rStyle w:val="CommentTok"/>
        </w:rPr>
        <w:t xml:space="preserve"># baixa os dados oficiais para dados/brutos (≈100 MB)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01_preparar_dados.py   </w:t>
      </w:r>
      <w:r>
        <w:rPr>
          <w:rStyle w:val="CommentTok"/>
        </w:rPr>
        <w:t xml:space="preserve"># gera as tabelas limpas em dados/processados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02_modelo.py           </w:t>
      </w:r>
      <w:r>
        <w:rPr>
          <w:rStyle w:val="CommentTok"/>
        </w:rPr>
        <w:t xml:space="preserve"># backtest, cenários, Monte Carlo, decomposições e figuras (≈4 min)</w:t>
      </w:r>
    </w:p>
    <w:p>
      <w:pPr>
        <w:pStyle w:val="FirstParagraph"/>
      </w:pPr>
      <w:r>
        <w:t xml:space="preserve">As tabelas limpas (</w:t>
      </w:r>
      <w:r>
        <w:rPr>
          <w:rStyle w:val="VerbatimChar"/>
        </w:rPr>
        <w:t xml:space="preserve">dados/processados</w:t>
      </w:r>
      <w:r>
        <w:t xml:space="preserve">) e a projeção da LDO extraída (</w:t>
      </w:r>
      <w:r>
        <w:rPr>
          <w:rStyle w:val="VerbatimChar"/>
        </w:rPr>
        <w:t xml:space="preserve">dados/ldo2027_rgps_projecao.csv</w:t>
      </w:r>
      <w:r>
        <w:t xml:space="preserve">) estão versionadas, de modo que</w:t>
      </w:r>
      <w:r>
        <w:t xml:space="preserve"> </w:t>
      </w:r>
      <w:r>
        <w:rPr>
          <w:rStyle w:val="VerbatimChar"/>
        </w:rPr>
        <w:t xml:space="preserve">02_modelo.py</w:t>
      </w:r>
      <w:r>
        <w:t xml:space="preserve"> </w:t>
      </w:r>
      <w:r>
        <w:t xml:space="preserve">pode ser executado sem baixar os dados brutos. Os resultados são gravados em</w:t>
      </w:r>
      <w:r>
        <w:t xml:space="preserve"> </w:t>
      </w:r>
      <w:r>
        <w:rPr>
          <w:rStyle w:val="VerbatimChar"/>
        </w:rPr>
        <w:t xml:space="preserve">resultados/</w:t>
      </w:r>
      <w:r>
        <w:t xml:space="preserve"> </w:t>
      </w:r>
      <w:r>
        <w:t xml:space="preserve">(um arquivo CSV por tabela do artigo) e as figuras em</w:t>
      </w:r>
      <w:r>
        <w:t xml:space="preserve"> </w:t>
      </w:r>
      <w:r>
        <w:rPr>
          <w:rStyle w:val="VerbatimChar"/>
        </w:rPr>
        <w:t xml:space="preserve">figuras/</w:t>
      </w:r>
      <w:r>
        <w:t xml:space="preserve">. As simulações usam semente fixa, e os números do artigo são reproduzidos exatamente.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2026-09-30T04:35:40Z</dcterms:created>
  <dcterms:modified xsi:type="dcterms:W3CDTF">2026-09-30T04:35:40Z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