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B56D9C5" w14:textId="22E7B0BE" w:rsidR="00865F1C" w:rsidRDefault="005678AA"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Mini Project: Unit </w:t>
      </w:r>
      <w:r w:rsidR="00A67613">
        <w:rPr>
          <w:rFonts w:ascii="Calibri" w:hAnsi="Calibri" w:cs="Calibri"/>
          <w:b/>
          <w:bCs/>
          <w:color w:val="87746A"/>
          <w:sz w:val="41"/>
          <w:szCs w:val="41"/>
          <w:shd w:val="clear" w:color="auto" w:fill="FFFFFF"/>
        </w:rPr>
        <w:t>3</w:t>
      </w:r>
    </w:p>
    <w:p w14:paraId="46B3C081" w14:textId="6BCE27EA" w:rsidR="005678AA" w:rsidRDefault="005678AA" w:rsidP="006636D9">
      <w:pPr>
        <w:shd w:val="clear" w:color="auto" w:fill="FFFFFF"/>
        <w:spacing w:before="100" w:beforeAutospacing="1" w:after="170" w:line="336" w:lineRule="atLeast"/>
        <w:rPr>
          <w:rFonts w:ascii="Open Sans" w:eastAsia="Times New Roman" w:hAnsi="Open Sans" w:cs="Open Sans"/>
          <w:color w:val="3C3C3C"/>
          <w:lang w:eastAsia="en-US"/>
        </w:rPr>
      </w:pPr>
    </w:p>
    <w:p w14:paraId="1F6CD869" w14:textId="6C1C097C" w:rsid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t>Download data for Dow Jones Index (DJIA) for the last 15 years.</w:t>
      </w:r>
    </w:p>
    <w:p w14:paraId="0AA4DE13" w14:textId="6512024E" w:rsidR="006636D9" w:rsidRPr="006636D9" w:rsidRDefault="00687B3B" w:rsidP="006636D9">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7EEF58A0" wp14:editId="3F2800B7">
            <wp:extent cx="41243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2695575"/>
                    </a:xfrm>
                    <a:prstGeom prst="rect">
                      <a:avLst/>
                    </a:prstGeom>
                  </pic:spPr>
                </pic:pic>
              </a:graphicData>
            </a:graphic>
          </wp:inline>
        </w:drawing>
      </w:r>
    </w:p>
    <w:p w14:paraId="2F530D43" w14:textId="71E83479" w:rsid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t>Compute daily percentage deviations of mid- price of DJIA from the 200 DAY Exponential Moving average (200DEMA) of close prices.</w:t>
      </w:r>
    </w:p>
    <w:p w14:paraId="3D684D1F" w14:textId="124D2FF0" w:rsidR="006636D9" w:rsidRPr="000412E4" w:rsidRDefault="000412E4" w:rsidP="000412E4">
      <w:pPr>
        <w:rPr>
          <w:rFonts w:ascii="Open Sans" w:eastAsia="Times New Roman" w:hAnsi="Open Sans" w:cs="Open Sans"/>
          <w:color w:val="3C3C3C"/>
          <w:lang w:eastAsia="en-US"/>
        </w:rPr>
      </w:pPr>
      <w:r>
        <w:rPr>
          <w:noProof/>
        </w:rPr>
        <w:drawing>
          <wp:inline distT="0" distB="0" distL="0" distR="0" wp14:anchorId="3634B413" wp14:editId="1EED1BFD">
            <wp:extent cx="55054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1238250"/>
                    </a:xfrm>
                    <a:prstGeom prst="rect">
                      <a:avLst/>
                    </a:prstGeom>
                  </pic:spPr>
                </pic:pic>
              </a:graphicData>
            </a:graphic>
          </wp:inline>
        </w:drawing>
      </w:r>
    </w:p>
    <w:p w14:paraId="74320149" w14:textId="77777777" w:rsidR="006636D9" w:rsidRPr="006636D9" w:rsidRDefault="006636D9" w:rsidP="006636D9">
      <w:pPr>
        <w:shd w:val="clear" w:color="auto" w:fill="FFFFFF"/>
        <w:spacing w:before="100" w:beforeAutospacing="1" w:after="170" w:line="336" w:lineRule="atLeast"/>
        <w:rPr>
          <w:rFonts w:ascii="Open Sans" w:eastAsia="Times New Roman" w:hAnsi="Open Sans" w:cs="Open Sans"/>
          <w:color w:val="3C3C3C"/>
          <w:lang w:eastAsia="en-US"/>
        </w:rPr>
      </w:pPr>
    </w:p>
    <w:p w14:paraId="20308F8B" w14:textId="656384FD" w:rsid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lastRenderedPageBreak/>
        <w:t>Prices above the 200-DEMA would get a positive value while those below would get a negative value</w:t>
      </w:r>
    </w:p>
    <w:p w14:paraId="7B21A81C" w14:textId="77777777" w:rsidR="000A1AC5" w:rsidRDefault="000A1AC5" w:rsidP="006636D9">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Code: </w:t>
      </w:r>
    </w:p>
    <w:p w14:paraId="35F1B8E0" w14:textId="05111364" w:rsidR="006636D9" w:rsidRPr="006636D9" w:rsidRDefault="000A1AC5" w:rsidP="006636D9">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657EEC67" wp14:editId="4778EC61">
            <wp:extent cx="5943600" cy="101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6635"/>
                    </a:xfrm>
                    <a:prstGeom prst="rect">
                      <a:avLst/>
                    </a:prstGeom>
                  </pic:spPr>
                </pic:pic>
              </a:graphicData>
            </a:graphic>
          </wp:inline>
        </w:drawing>
      </w:r>
    </w:p>
    <w:p w14:paraId="73A6C6FB" w14:textId="14025D6A" w:rsidR="006636D9" w:rsidRP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t>Whenever price is above 200-DEMA the market is generally considered to be in an up-move (and vice versa). Graphically represent the historical deviations and mark out clear periods of overall bullish and bearish regimes in DJIA.</w:t>
      </w:r>
    </w:p>
    <w:p w14:paraId="454DA3E4" w14:textId="39C66A73" w:rsid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t>For each of these regimes, clearly fit separate linear trend-lines and plot it on the same graph.</w:t>
      </w:r>
    </w:p>
    <w:p w14:paraId="0BEE876F" w14:textId="461DEA70" w:rsidR="000A1AC5"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1E5FB4D1" wp14:editId="4F854110">
            <wp:extent cx="5943600" cy="4417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7060"/>
                    </a:xfrm>
                    <a:prstGeom prst="rect">
                      <a:avLst/>
                    </a:prstGeom>
                  </pic:spPr>
                </pic:pic>
              </a:graphicData>
            </a:graphic>
          </wp:inline>
        </w:drawing>
      </w:r>
    </w:p>
    <w:p w14:paraId="4EC5A9F3" w14:textId="30042019" w:rsidR="00E43D11"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The prices are marked green in uptrends and red in downtrends. An uptrend is when the mean of open, high, low and closes are above the EMA of closes. The trend lines have the logic:</w:t>
      </w:r>
    </w:p>
    <w:p w14:paraId="29503793" w14:textId="0AB14A5B" w:rsidR="00E43D11"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Coefficient &gt; 2 --&gt; brown</w:t>
      </w:r>
    </w:p>
    <w:p w14:paraId="41D2C279" w14:textId="6141293B" w:rsidR="00E43D11"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2 &gt;= Coefficient &gt; 0 --&gt; yellow</w:t>
      </w:r>
    </w:p>
    <w:p w14:paraId="6920EA3A" w14:textId="47330143" w:rsidR="00E43D11"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 0 &gt;= Coefficient &gt; -2 --&gt; blue</w:t>
      </w:r>
    </w:p>
    <w:p w14:paraId="56A69DA7" w14:textId="262214BA" w:rsidR="00E43D11"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Coefficient &lt;= -</w:t>
      </w:r>
      <w:proofErr w:type="gramStart"/>
      <w:r>
        <w:rPr>
          <w:rFonts w:ascii="Open Sans" w:eastAsia="Times New Roman" w:hAnsi="Open Sans" w:cs="Open Sans"/>
          <w:color w:val="3C3C3C"/>
          <w:lang w:eastAsia="en-US"/>
        </w:rPr>
        <w:t>2  --</w:t>
      </w:r>
      <w:proofErr w:type="gramEnd"/>
      <w:r>
        <w:rPr>
          <w:rFonts w:ascii="Open Sans" w:eastAsia="Times New Roman" w:hAnsi="Open Sans" w:cs="Open Sans"/>
          <w:color w:val="3C3C3C"/>
          <w:lang w:eastAsia="en-US"/>
        </w:rPr>
        <w:t xml:space="preserve">&gt; red </w:t>
      </w:r>
    </w:p>
    <w:p w14:paraId="04B7AC8C" w14:textId="44939468" w:rsidR="00E43D11" w:rsidRDefault="00E43D11" w:rsidP="000A1AC5">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08654977" wp14:editId="30C01EDE">
            <wp:extent cx="3705225" cy="2495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495550"/>
                    </a:xfrm>
                    <a:prstGeom prst="rect">
                      <a:avLst/>
                    </a:prstGeom>
                  </pic:spPr>
                </pic:pic>
              </a:graphicData>
            </a:graphic>
          </wp:inline>
        </w:drawing>
      </w:r>
    </w:p>
    <w:p w14:paraId="6CB12B00" w14:textId="4A430F33" w:rsidR="00772BE5" w:rsidRPr="006636D9" w:rsidRDefault="00772BE5" w:rsidP="000A1AC5">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09AAE8D4" wp14:editId="7CB2C38F">
            <wp:extent cx="3600450" cy="257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571750"/>
                    </a:xfrm>
                    <a:prstGeom prst="rect">
                      <a:avLst/>
                    </a:prstGeom>
                  </pic:spPr>
                </pic:pic>
              </a:graphicData>
            </a:graphic>
          </wp:inline>
        </w:drawing>
      </w:r>
      <w:bookmarkStart w:id="0" w:name="_GoBack"/>
      <w:bookmarkEnd w:id="0"/>
    </w:p>
    <w:p w14:paraId="3394DD39" w14:textId="77777777" w:rsid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lastRenderedPageBreak/>
        <w:t>From the difference in relative slopes of the different trend lines, make a note about the relative shock during market regime shifts (e.g. – if a long bull market gave way to a sudden correction, the angle between the trend-lines of the two regimes would be high and would correspond to a violent regime-shift)</w:t>
      </w:r>
    </w:p>
    <w:p w14:paraId="4E953899" w14:textId="060E34E4" w:rsidR="006636D9" w:rsidRPr="006636D9" w:rsidRDefault="006636D9" w:rsidP="00D54CDA">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The slope is the derivative of price regarding to time, which is the coefficient of a linear equation. We can observe that very high slopes (above 2) tent to give room to very low slopes (below 2). Also, slopes between 0 and 2 tend to give room to slopes between -2 and 0. These observations are accordingly to </w:t>
      </w:r>
      <w:r w:rsidR="00E43D11">
        <w:rPr>
          <w:rFonts w:ascii="Open Sans" w:eastAsia="Times New Roman" w:hAnsi="Open Sans" w:cs="Open Sans"/>
          <w:color w:val="3C3C3C"/>
          <w:lang w:eastAsia="en-US"/>
        </w:rPr>
        <w:t>a market phenomenon</w:t>
      </w:r>
      <w:r>
        <w:rPr>
          <w:rFonts w:ascii="Open Sans" w:eastAsia="Times New Roman" w:hAnsi="Open Sans" w:cs="Open Sans"/>
          <w:color w:val="3C3C3C"/>
          <w:lang w:eastAsia="en-US"/>
        </w:rPr>
        <w:t xml:space="preserve"> known as volatility clustering. High periods of volatility tend to be grouped in time and low periods of volatility tend to be grouped in time also.  </w:t>
      </w:r>
      <w:r w:rsidRPr="006636D9">
        <w:rPr>
          <w:rFonts w:ascii="Open Sans" w:eastAsia="Times New Roman" w:hAnsi="Open Sans" w:cs="Open Sans"/>
          <w:color w:val="3C3C3C"/>
          <w:lang w:eastAsia="en-US"/>
        </w:rPr>
        <w:br/>
      </w:r>
    </w:p>
    <w:p w14:paraId="4DA91D19" w14:textId="70F7A633" w:rsidR="006636D9" w:rsidRDefault="006636D9" w:rsidP="006636D9">
      <w:pPr>
        <w:numPr>
          <w:ilvl w:val="0"/>
          <w:numId w:val="25"/>
        </w:numPr>
        <w:shd w:val="clear" w:color="auto" w:fill="FFFFFF"/>
        <w:spacing w:before="100" w:beforeAutospacing="1" w:after="170" w:line="336" w:lineRule="atLeast"/>
        <w:rPr>
          <w:rFonts w:ascii="Open Sans" w:eastAsia="Times New Roman" w:hAnsi="Open Sans" w:cs="Open Sans"/>
          <w:color w:val="3C3C3C"/>
          <w:lang w:eastAsia="en-US"/>
        </w:rPr>
      </w:pPr>
      <w:r w:rsidRPr="006636D9">
        <w:rPr>
          <w:rFonts w:ascii="Open Sans" w:eastAsia="Times New Roman" w:hAnsi="Open Sans" w:cs="Open Sans"/>
          <w:color w:val="3C3C3C"/>
          <w:lang w:eastAsia="en-US"/>
        </w:rPr>
        <w:t>Using the trend-line of the last-but-one regime, forecast the generic direction of price pattern for the last-regime. Did the projected and actual regimes match?</w:t>
      </w:r>
    </w:p>
    <w:p w14:paraId="67AFF234" w14:textId="1AF61885" w:rsidR="006636D9" w:rsidRPr="006636D9" w:rsidRDefault="00D54CDA" w:rsidP="00D54CDA">
      <w:pPr>
        <w:shd w:val="clear" w:color="auto" w:fill="FFFFFF"/>
        <w:spacing w:before="100" w:beforeAutospacing="1" w:after="170" w:line="336" w:lineRule="atLeast"/>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The pattern above is an indication. It didn’t work in the </w:t>
      </w:r>
      <w:proofErr w:type="gramStart"/>
      <w:r>
        <w:rPr>
          <w:rFonts w:ascii="Open Sans" w:eastAsia="Times New Roman" w:hAnsi="Open Sans" w:cs="Open Sans"/>
          <w:color w:val="3C3C3C"/>
          <w:lang w:eastAsia="en-US"/>
        </w:rPr>
        <w:t>last  trend</w:t>
      </w:r>
      <w:proofErr w:type="gramEnd"/>
      <w:r>
        <w:rPr>
          <w:rFonts w:ascii="Open Sans" w:eastAsia="Times New Roman" w:hAnsi="Open Sans" w:cs="Open Sans"/>
          <w:color w:val="3C3C3C"/>
          <w:lang w:eastAsia="en-US"/>
        </w:rPr>
        <w:t>, we had an acceleration from yellow to brown. If we have a decline it is more likely to be a red one, with slope below 2.</w:t>
      </w:r>
    </w:p>
    <w:sectPr w:rsidR="006636D9" w:rsidRPr="00663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72E21"/>
    <w:multiLevelType w:val="multilevel"/>
    <w:tmpl w:val="D4D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3B5A26"/>
    <w:multiLevelType w:val="multilevel"/>
    <w:tmpl w:val="4EF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273B5"/>
    <w:multiLevelType w:val="multilevel"/>
    <w:tmpl w:val="879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0"/>
  </w:num>
  <w:num w:numId="4">
    <w:abstractNumId w:val="13"/>
  </w:num>
  <w:num w:numId="5">
    <w:abstractNumId w:val="11"/>
  </w:num>
  <w:num w:numId="6">
    <w:abstractNumId w:val="18"/>
  </w:num>
  <w:num w:numId="7">
    <w:abstractNumId w:val="5"/>
  </w:num>
  <w:num w:numId="8">
    <w:abstractNumId w:val="7"/>
  </w:num>
  <w:num w:numId="9">
    <w:abstractNumId w:val="25"/>
  </w:num>
  <w:num w:numId="10">
    <w:abstractNumId w:val="14"/>
  </w:num>
  <w:num w:numId="11">
    <w:abstractNumId w:val="4"/>
  </w:num>
  <w:num w:numId="12">
    <w:abstractNumId w:val="12"/>
  </w:num>
  <w:num w:numId="13">
    <w:abstractNumId w:val="9"/>
  </w:num>
  <w:num w:numId="14">
    <w:abstractNumId w:val="20"/>
  </w:num>
  <w:num w:numId="15">
    <w:abstractNumId w:val="16"/>
  </w:num>
  <w:num w:numId="16">
    <w:abstractNumId w:val="2"/>
  </w:num>
  <w:num w:numId="17">
    <w:abstractNumId w:val="3"/>
  </w:num>
  <w:num w:numId="18">
    <w:abstractNumId w:val="1"/>
  </w:num>
  <w:num w:numId="19">
    <w:abstractNumId w:val="21"/>
  </w:num>
  <w:num w:numId="20">
    <w:abstractNumId w:val="17"/>
  </w:num>
  <w:num w:numId="21">
    <w:abstractNumId w:val="22"/>
  </w:num>
  <w:num w:numId="22">
    <w:abstractNumId w:val="19"/>
  </w:num>
  <w:num w:numId="23">
    <w:abstractNumId w:val="8"/>
  </w:num>
  <w:num w:numId="24">
    <w:abstractNumId w:val="6"/>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412E4"/>
    <w:rsid w:val="00053D10"/>
    <w:rsid w:val="000639CB"/>
    <w:rsid w:val="00067AB8"/>
    <w:rsid w:val="00094422"/>
    <w:rsid w:val="00096AB1"/>
    <w:rsid w:val="000A1AC5"/>
    <w:rsid w:val="000A283E"/>
    <w:rsid w:val="000A7E12"/>
    <w:rsid w:val="000B09DA"/>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7F68"/>
    <w:rsid w:val="001F0597"/>
    <w:rsid w:val="001F5D72"/>
    <w:rsid w:val="00202733"/>
    <w:rsid w:val="00203B60"/>
    <w:rsid w:val="00206450"/>
    <w:rsid w:val="00206883"/>
    <w:rsid w:val="002231BA"/>
    <w:rsid w:val="00225372"/>
    <w:rsid w:val="00234148"/>
    <w:rsid w:val="00250B50"/>
    <w:rsid w:val="00254505"/>
    <w:rsid w:val="00272955"/>
    <w:rsid w:val="00280828"/>
    <w:rsid w:val="002C3FAF"/>
    <w:rsid w:val="002E6134"/>
    <w:rsid w:val="002F650D"/>
    <w:rsid w:val="003004DF"/>
    <w:rsid w:val="00302F59"/>
    <w:rsid w:val="00310A23"/>
    <w:rsid w:val="003154AA"/>
    <w:rsid w:val="00324694"/>
    <w:rsid w:val="003304A0"/>
    <w:rsid w:val="00334E77"/>
    <w:rsid w:val="00336EFD"/>
    <w:rsid w:val="003464C2"/>
    <w:rsid w:val="00347EB1"/>
    <w:rsid w:val="0035409F"/>
    <w:rsid w:val="00381BF7"/>
    <w:rsid w:val="00383CED"/>
    <w:rsid w:val="003847B9"/>
    <w:rsid w:val="003B2793"/>
    <w:rsid w:val="003D5D58"/>
    <w:rsid w:val="003D7FD3"/>
    <w:rsid w:val="003E3484"/>
    <w:rsid w:val="003F6349"/>
    <w:rsid w:val="003F7008"/>
    <w:rsid w:val="004027B5"/>
    <w:rsid w:val="004419D6"/>
    <w:rsid w:val="00443BCC"/>
    <w:rsid w:val="00444D74"/>
    <w:rsid w:val="00446C54"/>
    <w:rsid w:val="00461120"/>
    <w:rsid w:val="004614AB"/>
    <w:rsid w:val="004636DD"/>
    <w:rsid w:val="00464298"/>
    <w:rsid w:val="00471556"/>
    <w:rsid w:val="0047277F"/>
    <w:rsid w:val="0048683B"/>
    <w:rsid w:val="00492B23"/>
    <w:rsid w:val="00493A49"/>
    <w:rsid w:val="004C51B8"/>
    <w:rsid w:val="004D12FD"/>
    <w:rsid w:val="004D421B"/>
    <w:rsid w:val="004D57B6"/>
    <w:rsid w:val="004E27C2"/>
    <w:rsid w:val="004E3C72"/>
    <w:rsid w:val="004E41F4"/>
    <w:rsid w:val="004F2D4E"/>
    <w:rsid w:val="004F5A4C"/>
    <w:rsid w:val="00502DB3"/>
    <w:rsid w:val="00525FAF"/>
    <w:rsid w:val="00527415"/>
    <w:rsid w:val="00530069"/>
    <w:rsid w:val="005349AF"/>
    <w:rsid w:val="00540D04"/>
    <w:rsid w:val="00544B19"/>
    <w:rsid w:val="00557161"/>
    <w:rsid w:val="00557814"/>
    <w:rsid w:val="005678AA"/>
    <w:rsid w:val="00574464"/>
    <w:rsid w:val="005F7037"/>
    <w:rsid w:val="00605140"/>
    <w:rsid w:val="0063750F"/>
    <w:rsid w:val="006428F8"/>
    <w:rsid w:val="00651DE7"/>
    <w:rsid w:val="006636D9"/>
    <w:rsid w:val="00663B45"/>
    <w:rsid w:val="006660B1"/>
    <w:rsid w:val="00687B3B"/>
    <w:rsid w:val="006978C7"/>
    <w:rsid w:val="006A203C"/>
    <w:rsid w:val="006C03C8"/>
    <w:rsid w:val="006D1C52"/>
    <w:rsid w:val="006E6E1B"/>
    <w:rsid w:val="006F3063"/>
    <w:rsid w:val="0073656F"/>
    <w:rsid w:val="007370BF"/>
    <w:rsid w:val="00737968"/>
    <w:rsid w:val="007402C9"/>
    <w:rsid w:val="007510B0"/>
    <w:rsid w:val="007654F6"/>
    <w:rsid w:val="00772BE5"/>
    <w:rsid w:val="0079139B"/>
    <w:rsid w:val="00792B5C"/>
    <w:rsid w:val="007931C0"/>
    <w:rsid w:val="007C1637"/>
    <w:rsid w:val="00802362"/>
    <w:rsid w:val="00802A0A"/>
    <w:rsid w:val="008176E4"/>
    <w:rsid w:val="00827D78"/>
    <w:rsid w:val="00830803"/>
    <w:rsid w:val="00837172"/>
    <w:rsid w:val="008460B9"/>
    <w:rsid w:val="00865F1C"/>
    <w:rsid w:val="008745B4"/>
    <w:rsid w:val="008816D3"/>
    <w:rsid w:val="00890B9A"/>
    <w:rsid w:val="008A2BEF"/>
    <w:rsid w:val="008A4BCD"/>
    <w:rsid w:val="008A6CEB"/>
    <w:rsid w:val="008A7E2E"/>
    <w:rsid w:val="008D07F9"/>
    <w:rsid w:val="008D1B68"/>
    <w:rsid w:val="008F70CA"/>
    <w:rsid w:val="00902704"/>
    <w:rsid w:val="00913864"/>
    <w:rsid w:val="00922A92"/>
    <w:rsid w:val="00924542"/>
    <w:rsid w:val="0093065A"/>
    <w:rsid w:val="009559AB"/>
    <w:rsid w:val="009853A8"/>
    <w:rsid w:val="009B0878"/>
    <w:rsid w:val="009B7B5D"/>
    <w:rsid w:val="009C73D3"/>
    <w:rsid w:val="00A13272"/>
    <w:rsid w:val="00A2277F"/>
    <w:rsid w:val="00A4469C"/>
    <w:rsid w:val="00A5450A"/>
    <w:rsid w:val="00A554F8"/>
    <w:rsid w:val="00A618F1"/>
    <w:rsid w:val="00A667E6"/>
    <w:rsid w:val="00A669B0"/>
    <w:rsid w:val="00A67613"/>
    <w:rsid w:val="00A7183C"/>
    <w:rsid w:val="00AA127C"/>
    <w:rsid w:val="00AA1F08"/>
    <w:rsid w:val="00AB1967"/>
    <w:rsid w:val="00B57817"/>
    <w:rsid w:val="00B64C49"/>
    <w:rsid w:val="00B7389D"/>
    <w:rsid w:val="00B82769"/>
    <w:rsid w:val="00B838B9"/>
    <w:rsid w:val="00BA36C3"/>
    <w:rsid w:val="00BA670D"/>
    <w:rsid w:val="00BB0235"/>
    <w:rsid w:val="00BC5438"/>
    <w:rsid w:val="00BD4936"/>
    <w:rsid w:val="00C062D8"/>
    <w:rsid w:val="00C069AF"/>
    <w:rsid w:val="00C07300"/>
    <w:rsid w:val="00C766B2"/>
    <w:rsid w:val="00CA138E"/>
    <w:rsid w:val="00CA1B0F"/>
    <w:rsid w:val="00CB1A91"/>
    <w:rsid w:val="00CB7D62"/>
    <w:rsid w:val="00CC6492"/>
    <w:rsid w:val="00CC76E2"/>
    <w:rsid w:val="00CF320D"/>
    <w:rsid w:val="00CF7F79"/>
    <w:rsid w:val="00D00BDF"/>
    <w:rsid w:val="00D03C11"/>
    <w:rsid w:val="00D04FDD"/>
    <w:rsid w:val="00D0786D"/>
    <w:rsid w:val="00D1636E"/>
    <w:rsid w:val="00D300AA"/>
    <w:rsid w:val="00D352F4"/>
    <w:rsid w:val="00D361EF"/>
    <w:rsid w:val="00D54CDA"/>
    <w:rsid w:val="00D8512D"/>
    <w:rsid w:val="00D86057"/>
    <w:rsid w:val="00D90D90"/>
    <w:rsid w:val="00DB0084"/>
    <w:rsid w:val="00DC3E3C"/>
    <w:rsid w:val="00DC6D0A"/>
    <w:rsid w:val="00DF60B5"/>
    <w:rsid w:val="00DF7D9C"/>
    <w:rsid w:val="00E07E16"/>
    <w:rsid w:val="00E21349"/>
    <w:rsid w:val="00E33BB1"/>
    <w:rsid w:val="00E43D11"/>
    <w:rsid w:val="00E4634E"/>
    <w:rsid w:val="00E57966"/>
    <w:rsid w:val="00E76B51"/>
    <w:rsid w:val="00E91574"/>
    <w:rsid w:val="00ED46AF"/>
    <w:rsid w:val="00EE05E0"/>
    <w:rsid w:val="00EE5BC0"/>
    <w:rsid w:val="00F126FC"/>
    <w:rsid w:val="00F40925"/>
    <w:rsid w:val="00F44E24"/>
    <w:rsid w:val="00FA24B7"/>
    <w:rsid w:val="00FC2B2A"/>
    <w:rsid w:val="00FE5FB4"/>
    <w:rsid w:val="00FF630A"/>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788279073">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2426870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068647176">
      <w:bodyDiv w:val="1"/>
      <w:marLeft w:val="0"/>
      <w:marRight w:val="0"/>
      <w:marTop w:val="0"/>
      <w:marBottom w:val="0"/>
      <w:divBdr>
        <w:top w:val="none" w:sz="0" w:space="0" w:color="auto"/>
        <w:left w:val="none" w:sz="0" w:space="0" w:color="auto"/>
        <w:bottom w:val="none" w:sz="0" w:space="0" w:color="auto"/>
        <w:right w:val="none" w:sz="0" w:space="0" w:color="auto"/>
      </w:divBdr>
    </w:div>
    <w:div w:id="1243755645">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340</Words>
  <Characters>1939</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3</cp:revision>
  <dcterms:created xsi:type="dcterms:W3CDTF">2018-03-18T20:29:00Z</dcterms:created>
  <dcterms:modified xsi:type="dcterms:W3CDTF">2018-03-18T22:57:00Z</dcterms:modified>
</cp:coreProperties>
</file>