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18100313" w:rsidR="0017253A" w:rsidRDefault="0017253A" w:rsidP="0017253A">
      <w:pPr>
        <w:jc w:val="center"/>
        <w:rPr>
          <w:rFonts w:ascii="Verdana" w:hAnsi="Verdana"/>
          <w:b/>
        </w:rPr>
      </w:pPr>
      <w:r>
        <w:rPr>
          <w:rFonts w:ascii="Verdana" w:hAnsi="Verdana"/>
          <w:b/>
        </w:rPr>
        <w:t xml:space="preserve">Professor: </w:t>
      </w:r>
      <w:r w:rsidR="00213263">
        <w:rPr>
          <w:rFonts w:ascii="Verdana" w:hAnsi="Verdana"/>
          <w:b/>
        </w:rPr>
        <w:t xml:space="preserve">Steven </w:t>
      </w:r>
      <w:proofErr w:type="spellStart"/>
      <w:r w:rsidR="00213263">
        <w:rPr>
          <w:rFonts w:ascii="Verdana" w:hAnsi="Verdana"/>
          <w:b/>
        </w:rPr>
        <w:t>Stelk</w:t>
      </w:r>
      <w:proofErr w:type="spellEnd"/>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4B2E1D60" w:rsidR="0017253A" w:rsidRDefault="00213263" w:rsidP="0017253A">
      <w:pPr>
        <w:jc w:val="center"/>
        <w:rPr>
          <w:rFonts w:ascii="Verdana" w:hAnsi="Verdana"/>
          <w:b/>
        </w:rPr>
      </w:pPr>
      <w:r>
        <w:rPr>
          <w:rFonts w:ascii="Verdana" w:hAnsi="Verdana"/>
          <w:b/>
        </w:rPr>
        <w:t>Risk Management</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6D76092C" w14:textId="77777777" w:rsidR="005C59D6" w:rsidRPr="00BD3CFA" w:rsidRDefault="005C59D6" w:rsidP="005C59D6">
      <w:pPr>
        <w:pStyle w:val="Heading5"/>
        <w:shd w:val="clear" w:color="auto" w:fill="FFFFFF"/>
        <w:spacing w:before="0" w:after="150" w:line="336" w:lineRule="atLeast"/>
        <w:rPr>
          <w:rFonts w:ascii="Open Sans" w:eastAsia="Times New Roman" w:hAnsi="Open Sans" w:cs="Open Sans"/>
          <w:b/>
          <w:i/>
          <w:color w:val="3C3C3C"/>
          <w:sz w:val="20"/>
          <w:szCs w:val="20"/>
          <w:lang w:eastAsia="en-US"/>
        </w:rPr>
      </w:pPr>
      <w:r w:rsidRPr="00BD3CFA">
        <w:rPr>
          <w:rFonts w:ascii="Open Sans" w:hAnsi="Open Sans" w:cs="Open Sans"/>
          <w:b/>
          <w:i/>
          <w:color w:val="3C3C3C"/>
        </w:rPr>
        <w:t>Dynamic Hedging &amp; Risk Mitigation</w:t>
      </w:r>
    </w:p>
    <w:p w14:paraId="781FADAE" w14:textId="77777777" w:rsidR="00BD3CFA" w:rsidRDefault="00BD3CFA" w:rsidP="005C59D6">
      <w:pPr>
        <w:shd w:val="clear" w:color="auto" w:fill="FFFFFF"/>
        <w:spacing w:after="340" w:line="384" w:lineRule="atLeast"/>
        <w:jc w:val="both"/>
        <w:rPr>
          <w:rFonts w:ascii="Open Sans" w:hAnsi="Open Sans" w:cs="Open Sans"/>
          <w:color w:val="3C3C3C"/>
        </w:rPr>
      </w:pPr>
    </w:p>
    <w:p w14:paraId="0491A331" w14:textId="5E7636C3" w:rsidR="005C59D6" w:rsidRDefault="005C59D6" w:rsidP="005C59D6">
      <w:pPr>
        <w:shd w:val="clear" w:color="auto" w:fill="FFFFFF"/>
        <w:spacing w:after="340" w:line="384" w:lineRule="atLeast"/>
        <w:jc w:val="both"/>
        <w:rPr>
          <w:rFonts w:ascii="Open Sans" w:hAnsi="Open Sans" w:cs="Open Sans"/>
          <w:color w:val="3C3C3C"/>
        </w:rPr>
      </w:pPr>
      <w:r>
        <w:rPr>
          <w:rFonts w:ascii="Open Sans" w:hAnsi="Open Sans" w:cs="Open Sans"/>
          <w:color w:val="3C3C3C"/>
        </w:rPr>
        <w:t>I. Download data for last 5 years Dow Jones Industrial Average futures contract – consider the nearest month expiry always.</w:t>
      </w:r>
    </w:p>
    <w:p w14:paraId="622E4E7D" w14:textId="77777777"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II. Also download/access relevant Options data for DJIA – consider the earliest expiry Put Option contract that is just at-the-money</w:t>
      </w:r>
    </w:p>
    <w:p w14:paraId="2585FA63" w14:textId="77777777"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III. Consider any particular trading month during the past 2 years (choose a month with not too many holidays</w:t>
      </w:r>
      <w:proofErr w:type="gramStart"/>
      <w:r>
        <w:rPr>
          <w:rFonts w:ascii="Open Sans" w:hAnsi="Open Sans" w:cs="Open Sans"/>
          <w:color w:val="3C3C3C"/>
        </w:rPr>
        <w:t>).We</w:t>
      </w:r>
      <w:proofErr w:type="gramEnd"/>
      <w:r>
        <w:rPr>
          <w:rFonts w:ascii="Open Sans" w:hAnsi="Open Sans" w:cs="Open Sans"/>
          <w:color w:val="3C3C3C"/>
        </w:rPr>
        <w:t xml:space="preserve"> would start trading with on the first day of the trading month.</w:t>
      </w:r>
    </w:p>
    <w:p w14:paraId="1FE36DCD" w14:textId="77777777"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 xml:space="preserve">IV. Consider that the trader has an initial position of SHORT Position of 100 at-the-money Put Options of DJIA at the end-of-trading on the last trading session (mostly a Friday, </w:t>
      </w:r>
      <w:proofErr w:type="spellStart"/>
      <w:r>
        <w:rPr>
          <w:rFonts w:ascii="Open Sans" w:hAnsi="Open Sans" w:cs="Open Sans"/>
          <w:color w:val="3C3C3C"/>
        </w:rPr>
        <w:t>WorldQuant</w:t>
      </w:r>
      <w:proofErr w:type="spellEnd"/>
      <w:r>
        <w:rPr>
          <w:rFonts w:ascii="Open Sans" w:hAnsi="Open Sans" w:cs="Open Sans"/>
          <w:color w:val="3C3C3C"/>
        </w:rPr>
        <w:t xml:space="preserve"> University, 2014 Page 2 unless Friday was a holiday) before the beginning of the Monday on which we start trading.</w:t>
      </w:r>
    </w:p>
    <w:p w14:paraId="2908059B" w14:textId="271463A6" w:rsidR="009A6E2D"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V. If the earliest expiry Options/Futures contract expire midway into the month, roll your positions over to the next contract</w:t>
      </w:r>
    </w:p>
    <w:p w14:paraId="2C7C7E82" w14:textId="7A90AC21" w:rsidR="009A6E2D" w:rsidRDefault="009A6E2D"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Steps 1 to 5 were done here</w:t>
      </w:r>
      <w:r w:rsidR="00E62304">
        <w:rPr>
          <w:rFonts w:ascii="Open Sans" w:hAnsi="Open Sans" w:cs="Open Sans"/>
          <w:color w:val="3C3C3C"/>
        </w:rPr>
        <w:t xml:space="preserve"> with the help of the code provided in the piazza forum</w:t>
      </w:r>
      <w:r>
        <w:rPr>
          <w:rFonts w:ascii="Open Sans" w:hAnsi="Open Sans" w:cs="Open Sans"/>
          <w:color w:val="3C3C3C"/>
        </w:rPr>
        <w:t>:</w:t>
      </w:r>
    </w:p>
    <w:p w14:paraId="238E59B6" w14:textId="4D97BD17" w:rsidR="009A6E2D" w:rsidRDefault="000A0AC7" w:rsidP="005C59D6">
      <w:pPr>
        <w:shd w:val="clear" w:color="auto" w:fill="FFFFFF"/>
        <w:spacing w:before="300" w:after="340" w:line="384" w:lineRule="atLeast"/>
        <w:jc w:val="both"/>
        <w:rPr>
          <w:rFonts w:ascii="Open Sans" w:hAnsi="Open Sans" w:cs="Open Sans"/>
          <w:color w:val="3C3C3C"/>
        </w:rPr>
      </w:pPr>
      <w:r>
        <w:rPr>
          <w:noProof/>
        </w:rPr>
        <w:lastRenderedPageBreak/>
        <w:drawing>
          <wp:inline distT="0" distB="0" distL="0" distR="0" wp14:anchorId="7A1F6E97" wp14:editId="0C30F79B">
            <wp:extent cx="5943600" cy="301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3710"/>
                    </a:xfrm>
                    <a:prstGeom prst="rect">
                      <a:avLst/>
                    </a:prstGeom>
                  </pic:spPr>
                </pic:pic>
              </a:graphicData>
            </a:graphic>
          </wp:inline>
        </w:drawing>
      </w:r>
    </w:p>
    <w:p w14:paraId="513DF5A5" w14:textId="65656211" w:rsidR="000A0AC7" w:rsidRDefault="000A0AC7" w:rsidP="005C59D6">
      <w:pPr>
        <w:shd w:val="clear" w:color="auto" w:fill="FFFFFF"/>
        <w:spacing w:before="300" w:after="340" w:line="384" w:lineRule="atLeast"/>
        <w:jc w:val="both"/>
        <w:rPr>
          <w:rFonts w:ascii="Open Sans" w:hAnsi="Open Sans" w:cs="Open Sans"/>
          <w:color w:val="3C3C3C"/>
        </w:rPr>
      </w:pPr>
      <w:r>
        <w:rPr>
          <w:noProof/>
        </w:rPr>
        <w:drawing>
          <wp:inline distT="0" distB="0" distL="0" distR="0" wp14:anchorId="3DAF7605" wp14:editId="5C207CEC">
            <wp:extent cx="594360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5675"/>
                    </a:xfrm>
                    <a:prstGeom prst="rect">
                      <a:avLst/>
                    </a:prstGeom>
                  </pic:spPr>
                </pic:pic>
              </a:graphicData>
            </a:graphic>
          </wp:inline>
        </w:drawing>
      </w:r>
    </w:p>
    <w:p w14:paraId="7D701B6F" w14:textId="73E0F513" w:rsidR="000A0AC7" w:rsidRDefault="000A0AC7"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We made some adaptations to the provided code so for example we could compute the price of options considering the opening of prices:</w:t>
      </w:r>
    </w:p>
    <w:p w14:paraId="46FA9077" w14:textId="33518116" w:rsidR="000A0AC7" w:rsidRDefault="000A0AC7" w:rsidP="005C59D6">
      <w:pPr>
        <w:shd w:val="clear" w:color="auto" w:fill="FFFFFF"/>
        <w:spacing w:before="300" w:after="340" w:line="384" w:lineRule="atLeast"/>
        <w:jc w:val="both"/>
        <w:rPr>
          <w:rFonts w:ascii="Open Sans" w:hAnsi="Open Sans" w:cs="Open Sans"/>
          <w:color w:val="3C3C3C"/>
        </w:rPr>
      </w:pPr>
      <w:r>
        <w:rPr>
          <w:noProof/>
        </w:rPr>
        <w:lastRenderedPageBreak/>
        <w:drawing>
          <wp:inline distT="0" distB="0" distL="0" distR="0" wp14:anchorId="58D1EDC6" wp14:editId="197FEAE8">
            <wp:extent cx="5943600" cy="5102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02225"/>
                    </a:xfrm>
                    <a:prstGeom prst="rect">
                      <a:avLst/>
                    </a:prstGeom>
                  </pic:spPr>
                </pic:pic>
              </a:graphicData>
            </a:graphic>
          </wp:inline>
        </w:drawing>
      </w:r>
    </w:p>
    <w:p w14:paraId="318C1CCF" w14:textId="1826C4AE"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VI. Given the spot price of DJIA at close on the last day of trading before the current Monday, calculate the initial Delta of the SHORT Option Position. This initial delta would provide an estimate of the overall Risk exposure of the SHORT Option Position.</w:t>
      </w:r>
    </w:p>
    <w:p w14:paraId="3E7E21F8" w14:textId="1760FF2A" w:rsidR="00487F3A" w:rsidRDefault="00E62304" w:rsidP="005C59D6">
      <w:pPr>
        <w:shd w:val="clear" w:color="auto" w:fill="FFFFFF"/>
        <w:spacing w:before="300" w:after="340" w:line="384" w:lineRule="atLeast"/>
        <w:jc w:val="both"/>
        <w:rPr>
          <w:rFonts w:ascii="Open Sans" w:hAnsi="Open Sans" w:cs="Open Sans"/>
          <w:color w:val="3C3C3C"/>
        </w:rPr>
      </w:pPr>
      <w:r>
        <w:rPr>
          <w:noProof/>
        </w:rPr>
        <w:drawing>
          <wp:inline distT="0" distB="0" distL="0" distR="0" wp14:anchorId="7F299D02" wp14:editId="7A79631D">
            <wp:extent cx="2400300" cy="140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1409700"/>
                    </a:xfrm>
                    <a:prstGeom prst="rect">
                      <a:avLst/>
                    </a:prstGeom>
                  </pic:spPr>
                </pic:pic>
              </a:graphicData>
            </a:graphic>
          </wp:inline>
        </w:drawing>
      </w:r>
    </w:p>
    <w:p w14:paraId="36112AA5" w14:textId="07711462" w:rsidR="00E62304" w:rsidRDefault="00E62304"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Which is computed here:</w:t>
      </w:r>
    </w:p>
    <w:p w14:paraId="1827A92E" w14:textId="4010DA58" w:rsidR="00E62304" w:rsidRDefault="00E62304" w:rsidP="005C59D6">
      <w:pPr>
        <w:shd w:val="clear" w:color="auto" w:fill="FFFFFF"/>
        <w:spacing w:before="300" w:after="340" w:line="384" w:lineRule="atLeast"/>
        <w:jc w:val="both"/>
        <w:rPr>
          <w:rFonts w:ascii="Open Sans" w:hAnsi="Open Sans" w:cs="Open Sans"/>
          <w:color w:val="3C3C3C"/>
        </w:rPr>
      </w:pPr>
      <w:r>
        <w:rPr>
          <w:noProof/>
        </w:rPr>
        <w:lastRenderedPageBreak/>
        <w:drawing>
          <wp:inline distT="0" distB="0" distL="0" distR="0" wp14:anchorId="619526C0" wp14:editId="31FC8A36">
            <wp:extent cx="5486400" cy="5172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172075"/>
                    </a:xfrm>
                    <a:prstGeom prst="rect">
                      <a:avLst/>
                    </a:prstGeom>
                  </pic:spPr>
                </pic:pic>
              </a:graphicData>
            </a:graphic>
          </wp:inline>
        </w:drawing>
      </w:r>
    </w:p>
    <w:p w14:paraId="673A0EA2" w14:textId="1DDC4673"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VII. To delta hedge the short put, calculate the number of DJIA Futures contract (earliest expiry) the trader needs to buy/sell at the beginning of Trading on Monday. The idea is that the deltas of the short option and the short stock would cancel, yielding an overall delta of zero.</w:t>
      </w:r>
    </w:p>
    <w:p w14:paraId="7660E972" w14:textId="7EE8BD3C" w:rsidR="008C67BB" w:rsidRDefault="008C67BB"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 xml:space="preserve">Normally an ATM option has a delta of 0.5, which means that one needs half a contract of the spot future to hedge. If it is a short call one needs to be long the underlying. The formula is simple, one just need to multiply the delta by the unit of the contract. This under the premise that one could buy/sell a </w:t>
      </w:r>
      <w:proofErr w:type="spellStart"/>
      <w:r>
        <w:rPr>
          <w:rFonts w:ascii="Open Sans" w:hAnsi="Open Sans" w:cs="Open Sans"/>
          <w:color w:val="3C3C3C"/>
        </w:rPr>
        <w:t>fractionary</w:t>
      </w:r>
      <w:proofErr w:type="spellEnd"/>
      <w:r>
        <w:rPr>
          <w:rFonts w:ascii="Open Sans" w:hAnsi="Open Sans" w:cs="Open Sans"/>
          <w:color w:val="3C3C3C"/>
        </w:rPr>
        <w:t xml:space="preserve"> lot of a contract. If we do not have this premise we can use the minimum multiple of the option and the future contract (under the premise the one will have the money for that).</w:t>
      </w:r>
    </w:p>
    <w:p w14:paraId="26876772" w14:textId="724FA32E" w:rsidR="00E62304" w:rsidRDefault="008C67BB"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lastRenderedPageBreak/>
        <w:t xml:space="preserve"> </w:t>
      </w:r>
      <w:r>
        <w:rPr>
          <w:noProof/>
        </w:rPr>
        <w:drawing>
          <wp:inline distT="0" distB="0" distL="0" distR="0" wp14:anchorId="60B570B9" wp14:editId="2BB24D63">
            <wp:extent cx="515302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342900"/>
                    </a:xfrm>
                    <a:prstGeom prst="rect">
                      <a:avLst/>
                    </a:prstGeom>
                  </pic:spPr>
                </pic:pic>
              </a:graphicData>
            </a:graphic>
          </wp:inline>
        </w:drawing>
      </w:r>
    </w:p>
    <w:p w14:paraId="74342234" w14:textId="6E83C29A" w:rsidR="008C67BB" w:rsidRDefault="008C67BB" w:rsidP="005C59D6">
      <w:pPr>
        <w:shd w:val="clear" w:color="auto" w:fill="FFFFFF"/>
        <w:spacing w:before="300" w:after="340" w:line="384" w:lineRule="atLeast"/>
        <w:jc w:val="both"/>
        <w:rPr>
          <w:rFonts w:ascii="Open Sans" w:hAnsi="Open Sans" w:cs="Open Sans"/>
          <w:color w:val="3C3C3C"/>
        </w:rPr>
      </w:pPr>
      <w:r>
        <w:rPr>
          <w:noProof/>
        </w:rPr>
        <w:drawing>
          <wp:inline distT="0" distB="0" distL="0" distR="0" wp14:anchorId="495796AF" wp14:editId="403C9097">
            <wp:extent cx="1714500" cy="4152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4152900"/>
                    </a:xfrm>
                    <a:prstGeom prst="rect">
                      <a:avLst/>
                    </a:prstGeom>
                  </pic:spPr>
                </pic:pic>
              </a:graphicData>
            </a:graphic>
          </wp:inline>
        </w:drawing>
      </w:r>
    </w:p>
    <w:p w14:paraId="4FCD6E4D" w14:textId="513EE5AF" w:rsidR="008C67BB" w:rsidRDefault="008C67BB"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Code:</w:t>
      </w:r>
    </w:p>
    <w:p w14:paraId="74FE3FEA" w14:textId="6AEADF86" w:rsidR="008C67BB" w:rsidRDefault="008C67BB" w:rsidP="005C59D6">
      <w:pPr>
        <w:shd w:val="clear" w:color="auto" w:fill="FFFFFF"/>
        <w:spacing w:before="300" w:after="340" w:line="384" w:lineRule="atLeast"/>
        <w:jc w:val="both"/>
        <w:rPr>
          <w:rFonts w:ascii="Open Sans" w:hAnsi="Open Sans" w:cs="Open Sans"/>
          <w:color w:val="3C3C3C"/>
        </w:rPr>
      </w:pPr>
      <w:r>
        <w:rPr>
          <w:noProof/>
        </w:rPr>
        <w:drawing>
          <wp:inline distT="0" distB="0" distL="0" distR="0" wp14:anchorId="4F8E19C1" wp14:editId="01E6C46F">
            <wp:extent cx="5943600" cy="636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6270"/>
                    </a:xfrm>
                    <a:prstGeom prst="rect">
                      <a:avLst/>
                    </a:prstGeom>
                  </pic:spPr>
                </pic:pic>
              </a:graphicData>
            </a:graphic>
          </wp:inline>
        </w:drawing>
      </w:r>
    </w:p>
    <w:p w14:paraId="39504A19" w14:textId="77777777"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VIII. Then on, track the underlying spot price twice every day – just after market open and just before market close to adjust your delta hedge positions by buying or selling the required number of futures contracts</w:t>
      </w:r>
    </w:p>
    <w:p w14:paraId="5837747A" w14:textId="1CB51259"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IX. Continue the dynamic hedging process till the last trading day of the month</w:t>
      </w:r>
    </w:p>
    <w:p w14:paraId="4B3F1BDE" w14:textId="6C5E34BD" w:rsidR="009727EC" w:rsidRPr="009727EC" w:rsidRDefault="009727EC" w:rsidP="009727EC">
      <w:pPr>
        <w:shd w:val="clear" w:color="auto" w:fill="FFFFFF"/>
        <w:spacing w:before="300" w:after="340" w:line="384" w:lineRule="atLeast"/>
        <w:jc w:val="both"/>
        <w:rPr>
          <w:rFonts w:ascii="Open Sans" w:hAnsi="Open Sans" w:cs="Open Sans"/>
          <w:color w:val="3C3C3C"/>
        </w:rPr>
      </w:pPr>
      <w:r w:rsidRPr="009727EC">
        <w:rPr>
          <w:rFonts w:ascii="Open Sans" w:hAnsi="Open Sans" w:cs="Open Sans"/>
          <w:color w:val="3C3C3C"/>
        </w:rPr>
        <w:t xml:space="preserve">As one will buy the </w:t>
      </w:r>
      <w:proofErr w:type="gramStart"/>
      <w:r w:rsidRPr="009727EC">
        <w:rPr>
          <w:rFonts w:ascii="Open Sans" w:hAnsi="Open Sans" w:cs="Open Sans"/>
          <w:color w:val="3C3C3C"/>
        </w:rPr>
        <w:t>amount</w:t>
      </w:r>
      <w:proofErr w:type="gramEnd"/>
      <w:r w:rsidRPr="009727EC">
        <w:rPr>
          <w:rFonts w:ascii="Open Sans" w:hAnsi="Open Sans" w:cs="Open Sans"/>
          <w:color w:val="3C3C3C"/>
        </w:rPr>
        <w:t xml:space="preserve"> of DJs to hedge the delta in the options, in the open</w:t>
      </w:r>
      <w:r>
        <w:rPr>
          <w:rFonts w:ascii="Open Sans" w:hAnsi="Open Sans" w:cs="Open Sans"/>
          <w:color w:val="3C3C3C"/>
        </w:rPr>
        <w:t xml:space="preserve"> </w:t>
      </w:r>
      <w:r w:rsidRPr="009727EC">
        <w:rPr>
          <w:rFonts w:ascii="Open Sans" w:hAnsi="Open Sans" w:cs="Open Sans"/>
          <w:color w:val="3C3C3C"/>
        </w:rPr>
        <w:t xml:space="preserve">one will have zero delta. In a perfect world with constant delta </w:t>
      </w:r>
      <w:r w:rsidRPr="009727EC">
        <w:rPr>
          <w:rFonts w:ascii="Open Sans" w:hAnsi="Open Sans" w:cs="Open Sans"/>
          <w:color w:val="3C3C3C"/>
        </w:rPr>
        <w:t>hedging</w:t>
      </w:r>
      <w:r w:rsidRPr="009727EC">
        <w:rPr>
          <w:rFonts w:ascii="Open Sans" w:hAnsi="Open Sans" w:cs="Open Sans"/>
          <w:color w:val="3C3C3C"/>
        </w:rPr>
        <w:t xml:space="preserve"> the delta will be zero. </w:t>
      </w:r>
    </w:p>
    <w:p w14:paraId="4F1CE552" w14:textId="6287B13E" w:rsidR="009727EC" w:rsidRPr="009727EC" w:rsidRDefault="009727EC" w:rsidP="009727EC">
      <w:pPr>
        <w:shd w:val="clear" w:color="auto" w:fill="FFFFFF"/>
        <w:spacing w:before="300" w:after="340" w:line="384" w:lineRule="atLeast"/>
        <w:jc w:val="both"/>
        <w:rPr>
          <w:rFonts w:ascii="Open Sans" w:hAnsi="Open Sans" w:cs="Open Sans"/>
          <w:color w:val="3C3C3C"/>
        </w:rPr>
      </w:pPr>
      <w:r w:rsidRPr="009727EC">
        <w:rPr>
          <w:rFonts w:ascii="Open Sans" w:hAnsi="Open Sans" w:cs="Open Sans"/>
          <w:color w:val="3C3C3C"/>
        </w:rPr>
        <w:lastRenderedPageBreak/>
        <w:t xml:space="preserve">As we are doing only 2 times we will have the delta that will be the difference </w:t>
      </w:r>
      <w:proofErr w:type="spellStart"/>
      <w:r w:rsidRPr="009727EC">
        <w:rPr>
          <w:rFonts w:ascii="Open Sans" w:hAnsi="Open Sans" w:cs="Open Sans"/>
          <w:color w:val="3C3C3C"/>
        </w:rPr>
        <w:t>betweeen</w:t>
      </w:r>
      <w:proofErr w:type="spellEnd"/>
      <w:r w:rsidRPr="009727EC">
        <w:rPr>
          <w:rFonts w:ascii="Open Sans" w:hAnsi="Open Sans" w:cs="Open Sans"/>
          <w:color w:val="3C3C3C"/>
        </w:rPr>
        <w:t xml:space="preserve"> the end of the day</w:t>
      </w:r>
      <w:r>
        <w:rPr>
          <w:rFonts w:ascii="Open Sans" w:hAnsi="Open Sans" w:cs="Open Sans"/>
          <w:color w:val="3C3C3C"/>
        </w:rPr>
        <w:t>. We calculate the number of contracts necessary to hedge twice a day considering this:</w:t>
      </w:r>
    </w:p>
    <w:p w14:paraId="5E129C60" w14:textId="4FF4649A" w:rsidR="009727EC" w:rsidRDefault="009727EC"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Code:</w:t>
      </w:r>
    </w:p>
    <w:p w14:paraId="698BCF8D" w14:textId="33FE0FE1" w:rsidR="008C67BB" w:rsidRDefault="009727EC" w:rsidP="005C59D6">
      <w:pPr>
        <w:shd w:val="clear" w:color="auto" w:fill="FFFFFF"/>
        <w:spacing w:before="300" w:after="340" w:line="384" w:lineRule="atLeast"/>
        <w:jc w:val="both"/>
        <w:rPr>
          <w:rFonts w:ascii="Open Sans" w:hAnsi="Open Sans" w:cs="Open Sans"/>
          <w:color w:val="3C3C3C"/>
        </w:rPr>
      </w:pPr>
      <w:r>
        <w:rPr>
          <w:noProof/>
        </w:rPr>
        <w:drawing>
          <wp:inline distT="0" distB="0" distL="0" distR="0" wp14:anchorId="34B3F66B" wp14:editId="6CE496C9">
            <wp:extent cx="5943600" cy="1185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85545"/>
                    </a:xfrm>
                    <a:prstGeom prst="rect">
                      <a:avLst/>
                    </a:prstGeom>
                  </pic:spPr>
                </pic:pic>
              </a:graphicData>
            </a:graphic>
          </wp:inline>
        </w:drawing>
      </w:r>
    </w:p>
    <w:p w14:paraId="3971CAAD" w14:textId="30FBFF3E" w:rsidR="009727EC" w:rsidRDefault="009727EC"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Results:</w:t>
      </w:r>
    </w:p>
    <w:p w14:paraId="4E7BC617" w14:textId="2E435B6D" w:rsidR="009727EC" w:rsidRDefault="009727EC" w:rsidP="005C59D6">
      <w:pPr>
        <w:shd w:val="clear" w:color="auto" w:fill="FFFFFF"/>
        <w:spacing w:before="300" w:after="340" w:line="384" w:lineRule="atLeast"/>
        <w:jc w:val="both"/>
        <w:rPr>
          <w:rFonts w:ascii="Open Sans" w:hAnsi="Open Sans" w:cs="Open Sans"/>
          <w:color w:val="3C3C3C"/>
        </w:rPr>
      </w:pPr>
      <w:r>
        <w:rPr>
          <w:noProof/>
        </w:rPr>
        <w:drawing>
          <wp:inline distT="0" distB="0" distL="0" distR="0" wp14:anchorId="691730DF" wp14:editId="39BAD7C5">
            <wp:extent cx="5353050" cy="4467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4467225"/>
                    </a:xfrm>
                    <a:prstGeom prst="rect">
                      <a:avLst/>
                    </a:prstGeom>
                  </pic:spPr>
                </pic:pic>
              </a:graphicData>
            </a:graphic>
          </wp:inline>
        </w:drawing>
      </w:r>
    </w:p>
    <w:p w14:paraId="627C4C87" w14:textId="792EDF8D"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X. Graphically represent the following –</w:t>
      </w:r>
    </w:p>
    <w:p w14:paraId="164320C2" w14:textId="630AA7BD" w:rsidR="00B02B59" w:rsidRDefault="00B02B59"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lastRenderedPageBreak/>
        <w:t>Code for next graphs:</w:t>
      </w:r>
    </w:p>
    <w:p w14:paraId="2AD1E2BD" w14:textId="1BC5FD24" w:rsidR="00B02B59" w:rsidRDefault="00B02B59" w:rsidP="005C59D6">
      <w:pPr>
        <w:shd w:val="clear" w:color="auto" w:fill="FFFFFF"/>
        <w:spacing w:before="300" w:after="340" w:line="384" w:lineRule="atLeast"/>
        <w:jc w:val="both"/>
        <w:rPr>
          <w:rFonts w:ascii="Open Sans" w:hAnsi="Open Sans" w:cs="Open Sans"/>
          <w:color w:val="3C3C3C"/>
        </w:rPr>
      </w:pPr>
      <w:r>
        <w:rPr>
          <w:noProof/>
        </w:rPr>
        <w:drawing>
          <wp:inline distT="0" distB="0" distL="0" distR="0" wp14:anchorId="158D0993" wp14:editId="020CBA1D">
            <wp:extent cx="5943600" cy="47682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68215"/>
                    </a:xfrm>
                    <a:prstGeom prst="rect">
                      <a:avLst/>
                    </a:prstGeom>
                  </pic:spPr>
                </pic:pic>
              </a:graphicData>
            </a:graphic>
          </wp:inline>
        </w:drawing>
      </w:r>
    </w:p>
    <w:p w14:paraId="5590B993" w14:textId="34526066" w:rsidR="005C59D6" w:rsidRDefault="005C59D6" w:rsidP="005C59D6">
      <w:pPr>
        <w:numPr>
          <w:ilvl w:val="0"/>
          <w:numId w:val="29"/>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the risk and return profile of the un-hedged Options SHORT positions</w:t>
      </w:r>
    </w:p>
    <w:p w14:paraId="5748FB66" w14:textId="21461EC7" w:rsidR="00181671" w:rsidRDefault="00181671" w:rsidP="00181671">
      <w:pPr>
        <w:shd w:val="clear" w:color="auto" w:fill="FFFFFF"/>
        <w:spacing w:before="100" w:beforeAutospacing="1" w:after="170" w:line="336" w:lineRule="atLeast"/>
        <w:rPr>
          <w:rFonts w:ascii="Open Sans" w:hAnsi="Open Sans" w:cs="Open Sans"/>
          <w:color w:val="3C3C3C"/>
        </w:rPr>
      </w:pPr>
    </w:p>
    <w:p w14:paraId="406B2DA8" w14:textId="1A177117" w:rsidR="00FC7280" w:rsidRDefault="00181671" w:rsidP="00FC7280">
      <w:pPr>
        <w:shd w:val="clear" w:color="auto" w:fill="FFFFFF"/>
        <w:spacing w:before="100" w:beforeAutospacing="1" w:after="170" w:line="336" w:lineRule="atLeast"/>
        <w:rPr>
          <w:rFonts w:ascii="Open Sans" w:hAnsi="Open Sans" w:cs="Open Sans"/>
          <w:color w:val="3C3C3C"/>
        </w:rPr>
      </w:pPr>
      <w:r>
        <w:rPr>
          <w:noProof/>
        </w:rPr>
        <w:lastRenderedPageBreak/>
        <w:drawing>
          <wp:inline distT="0" distB="0" distL="0" distR="0" wp14:anchorId="77EEFA23" wp14:editId="4E768BAE">
            <wp:extent cx="4724400" cy="3271748"/>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7912" cy="3281106"/>
                    </a:xfrm>
                    <a:prstGeom prst="rect">
                      <a:avLst/>
                    </a:prstGeom>
                  </pic:spPr>
                </pic:pic>
              </a:graphicData>
            </a:graphic>
          </wp:inline>
        </w:drawing>
      </w:r>
    </w:p>
    <w:p w14:paraId="105A4D0F" w14:textId="038B48CF" w:rsidR="00181671" w:rsidRDefault="00181671" w:rsidP="00FC7280">
      <w:pPr>
        <w:shd w:val="clear" w:color="auto" w:fill="FFFFFF"/>
        <w:spacing w:before="100" w:beforeAutospacing="1" w:after="170" w:line="336" w:lineRule="atLeast"/>
        <w:rPr>
          <w:rFonts w:ascii="Open Sans" w:hAnsi="Open Sans" w:cs="Open Sans"/>
          <w:color w:val="3C3C3C"/>
        </w:rPr>
      </w:pPr>
      <w:r>
        <w:rPr>
          <w:noProof/>
        </w:rPr>
        <w:drawing>
          <wp:inline distT="0" distB="0" distL="0" distR="0" wp14:anchorId="1174D49D" wp14:editId="4A0D5357">
            <wp:extent cx="4933950" cy="3496990"/>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567" cy="3501680"/>
                    </a:xfrm>
                    <a:prstGeom prst="rect">
                      <a:avLst/>
                    </a:prstGeom>
                  </pic:spPr>
                </pic:pic>
              </a:graphicData>
            </a:graphic>
          </wp:inline>
        </w:drawing>
      </w:r>
    </w:p>
    <w:p w14:paraId="2C2C10C6" w14:textId="68E9BCF2" w:rsidR="005C59D6" w:rsidRDefault="005C59D6" w:rsidP="005C59D6">
      <w:pPr>
        <w:numPr>
          <w:ilvl w:val="0"/>
          <w:numId w:val="29"/>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the risk and return profile of the dynamically hedged portfolio</w:t>
      </w:r>
    </w:p>
    <w:p w14:paraId="545A6D40" w14:textId="2C1E1661" w:rsidR="00FC7280" w:rsidRDefault="00FC7280" w:rsidP="00FC7280">
      <w:pPr>
        <w:pStyle w:val="ListParagraph"/>
        <w:rPr>
          <w:rFonts w:ascii="Open Sans" w:hAnsi="Open Sans" w:cs="Open Sans"/>
          <w:color w:val="3C3C3C"/>
        </w:rPr>
      </w:pPr>
    </w:p>
    <w:p w14:paraId="194D50D2" w14:textId="2D7D2547" w:rsidR="00FC7280" w:rsidRDefault="00FC7280" w:rsidP="00FC7280">
      <w:pPr>
        <w:pStyle w:val="ListParagraph"/>
        <w:rPr>
          <w:rFonts w:ascii="Open Sans" w:hAnsi="Open Sans" w:cs="Open Sans"/>
          <w:color w:val="3C3C3C"/>
        </w:rPr>
      </w:pPr>
      <w:r>
        <w:rPr>
          <w:noProof/>
        </w:rPr>
        <w:lastRenderedPageBreak/>
        <w:drawing>
          <wp:inline distT="0" distB="0" distL="0" distR="0" wp14:anchorId="770E8498" wp14:editId="10510B7F">
            <wp:extent cx="5094877" cy="3819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3800" cy="3826215"/>
                    </a:xfrm>
                    <a:prstGeom prst="rect">
                      <a:avLst/>
                    </a:prstGeom>
                  </pic:spPr>
                </pic:pic>
              </a:graphicData>
            </a:graphic>
          </wp:inline>
        </w:drawing>
      </w:r>
    </w:p>
    <w:p w14:paraId="350BDA8D" w14:textId="70CE72C3" w:rsidR="00FC7280" w:rsidRDefault="00FC7280" w:rsidP="00FC7280">
      <w:pPr>
        <w:pStyle w:val="ListParagraph"/>
        <w:rPr>
          <w:rFonts w:ascii="Open Sans" w:hAnsi="Open Sans" w:cs="Open Sans"/>
          <w:color w:val="3C3C3C"/>
        </w:rPr>
      </w:pPr>
      <w:r>
        <w:rPr>
          <w:noProof/>
        </w:rPr>
        <w:drawing>
          <wp:inline distT="0" distB="0" distL="0" distR="0" wp14:anchorId="3B159C4D" wp14:editId="39A6EA31">
            <wp:extent cx="4910166" cy="3457575"/>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118" cy="3460358"/>
                    </a:xfrm>
                    <a:prstGeom prst="rect">
                      <a:avLst/>
                    </a:prstGeom>
                  </pic:spPr>
                </pic:pic>
              </a:graphicData>
            </a:graphic>
          </wp:inline>
        </w:drawing>
      </w:r>
    </w:p>
    <w:p w14:paraId="6A028121" w14:textId="77777777" w:rsidR="00FC7280" w:rsidRDefault="00FC7280" w:rsidP="00FC7280">
      <w:pPr>
        <w:shd w:val="clear" w:color="auto" w:fill="FFFFFF"/>
        <w:spacing w:before="100" w:beforeAutospacing="1" w:after="170" w:line="336" w:lineRule="atLeast"/>
        <w:rPr>
          <w:rFonts w:ascii="Open Sans" w:hAnsi="Open Sans" w:cs="Open Sans"/>
          <w:color w:val="3C3C3C"/>
        </w:rPr>
      </w:pPr>
    </w:p>
    <w:p w14:paraId="318C43A3" w14:textId="5373210F" w:rsidR="005C59D6" w:rsidRDefault="005C59D6" w:rsidP="005C59D6">
      <w:pPr>
        <w:numPr>
          <w:ilvl w:val="0"/>
          <w:numId w:val="29"/>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The delta of the portfolio</w:t>
      </w:r>
    </w:p>
    <w:p w14:paraId="02C80C54" w14:textId="60CAF200" w:rsidR="00181671" w:rsidRDefault="00181671" w:rsidP="00181671">
      <w:pPr>
        <w:shd w:val="clear" w:color="auto" w:fill="FFFFFF"/>
        <w:spacing w:before="100" w:beforeAutospacing="1" w:after="170" w:line="336" w:lineRule="atLeast"/>
        <w:rPr>
          <w:rFonts w:ascii="Open Sans" w:hAnsi="Open Sans" w:cs="Open Sans"/>
          <w:color w:val="3C3C3C"/>
        </w:rPr>
      </w:pPr>
      <w:r>
        <w:rPr>
          <w:noProof/>
        </w:rPr>
        <w:lastRenderedPageBreak/>
        <w:drawing>
          <wp:inline distT="0" distB="0" distL="0" distR="0" wp14:anchorId="64B2C4E3" wp14:editId="2E3D7964">
            <wp:extent cx="5943600" cy="4381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81500"/>
                    </a:xfrm>
                    <a:prstGeom prst="rect">
                      <a:avLst/>
                    </a:prstGeom>
                  </pic:spPr>
                </pic:pic>
              </a:graphicData>
            </a:graphic>
          </wp:inline>
        </w:drawing>
      </w:r>
    </w:p>
    <w:p w14:paraId="6D0B9788" w14:textId="2DF5F19B" w:rsidR="005C59D6" w:rsidRDefault="005C59D6" w:rsidP="005C59D6">
      <w:pPr>
        <w:numPr>
          <w:ilvl w:val="0"/>
          <w:numId w:val="29"/>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the cumulative quantity of futures contracts that were required to dynamically hedge the portfolio</w:t>
      </w:r>
    </w:p>
    <w:p w14:paraId="4F429934" w14:textId="5FDF591A" w:rsidR="00B02B59" w:rsidRDefault="00B02B59" w:rsidP="00B02B59">
      <w:pPr>
        <w:shd w:val="clear" w:color="auto" w:fill="FFFFFF"/>
        <w:spacing w:before="100" w:beforeAutospacing="1" w:after="170" w:line="336" w:lineRule="atLeast"/>
        <w:rPr>
          <w:rFonts w:ascii="Open Sans" w:hAnsi="Open Sans" w:cs="Open Sans"/>
          <w:color w:val="3C3C3C"/>
        </w:rPr>
      </w:pPr>
      <w:r>
        <w:rPr>
          <w:rFonts w:ascii="Open Sans" w:hAnsi="Open Sans" w:cs="Open Sans"/>
          <w:color w:val="3C3C3C"/>
        </w:rPr>
        <w:t>Code:</w:t>
      </w:r>
    </w:p>
    <w:p w14:paraId="0E3C5A68" w14:textId="62D5ACAB" w:rsidR="00181671" w:rsidRDefault="00B02B59" w:rsidP="00181671">
      <w:pPr>
        <w:shd w:val="clear" w:color="auto" w:fill="FFFFFF"/>
        <w:spacing w:before="100" w:beforeAutospacing="1" w:after="170" w:line="336" w:lineRule="atLeast"/>
        <w:rPr>
          <w:rFonts w:ascii="Open Sans" w:hAnsi="Open Sans" w:cs="Open Sans"/>
          <w:color w:val="3C3C3C"/>
        </w:rPr>
      </w:pPr>
      <w:r>
        <w:rPr>
          <w:noProof/>
        </w:rPr>
        <w:drawing>
          <wp:inline distT="0" distB="0" distL="0" distR="0" wp14:anchorId="3A4E0F10" wp14:editId="0E29EB27">
            <wp:extent cx="5943600" cy="5340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4035"/>
                    </a:xfrm>
                    <a:prstGeom prst="rect">
                      <a:avLst/>
                    </a:prstGeom>
                  </pic:spPr>
                </pic:pic>
              </a:graphicData>
            </a:graphic>
          </wp:inline>
        </w:drawing>
      </w:r>
    </w:p>
    <w:p w14:paraId="7EA485AC" w14:textId="619BF8B9" w:rsidR="00B02B59" w:rsidRDefault="00B02B59" w:rsidP="00181671">
      <w:pPr>
        <w:shd w:val="clear" w:color="auto" w:fill="FFFFFF"/>
        <w:spacing w:before="100" w:beforeAutospacing="1" w:after="170" w:line="336" w:lineRule="atLeast"/>
        <w:rPr>
          <w:rFonts w:ascii="Open Sans" w:hAnsi="Open Sans" w:cs="Open Sans"/>
          <w:color w:val="3C3C3C"/>
        </w:rPr>
      </w:pPr>
      <w:r>
        <w:rPr>
          <w:noProof/>
        </w:rPr>
        <w:lastRenderedPageBreak/>
        <w:drawing>
          <wp:inline distT="0" distB="0" distL="0" distR="0" wp14:anchorId="37A1C81E" wp14:editId="2A6932AB">
            <wp:extent cx="5943600" cy="43954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95470"/>
                    </a:xfrm>
                    <a:prstGeom prst="rect">
                      <a:avLst/>
                    </a:prstGeom>
                  </pic:spPr>
                </pic:pic>
              </a:graphicData>
            </a:graphic>
          </wp:inline>
        </w:drawing>
      </w:r>
    </w:p>
    <w:p w14:paraId="70C13C02" w14:textId="77777777"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Note: Risk-return profile calculations should include calculations for the following KPIs –</w:t>
      </w:r>
    </w:p>
    <w:p w14:paraId="4027FF74" w14:textId="77777777" w:rsidR="005C59D6" w:rsidRDefault="005C59D6" w:rsidP="005C59D6">
      <w:pPr>
        <w:shd w:val="clear" w:color="auto" w:fill="FFFFFF"/>
        <w:spacing w:before="300" w:after="340" w:line="384" w:lineRule="atLeast"/>
        <w:jc w:val="both"/>
        <w:rPr>
          <w:rFonts w:ascii="Open Sans" w:hAnsi="Open Sans" w:cs="Open Sans"/>
          <w:color w:val="3C3C3C"/>
        </w:rPr>
      </w:pPr>
      <w:proofErr w:type="spellStart"/>
      <w:r>
        <w:rPr>
          <w:rFonts w:ascii="Open Sans" w:hAnsi="Open Sans" w:cs="Open Sans"/>
          <w:color w:val="3C3C3C"/>
        </w:rPr>
        <w:t>i</w:t>
      </w:r>
      <w:proofErr w:type="spellEnd"/>
      <w:r>
        <w:rPr>
          <w:rFonts w:ascii="Open Sans" w:hAnsi="Open Sans" w:cs="Open Sans"/>
          <w:color w:val="3C3C3C"/>
        </w:rPr>
        <w:t>. Average Daily Return,</w:t>
      </w:r>
    </w:p>
    <w:p w14:paraId="597FE02D" w14:textId="77777777"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ii. Percentage of Positive Days,</w:t>
      </w:r>
    </w:p>
    <w:p w14:paraId="19C812CA" w14:textId="77777777"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iii. Average Weekly Return,</w:t>
      </w:r>
    </w:p>
    <w:p w14:paraId="2B858D33" w14:textId="77777777"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iv. Max Daily Drawdown,</w:t>
      </w:r>
    </w:p>
    <w:p w14:paraId="3D86B1BF" w14:textId="77777777"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v. Max Drawdown,</w:t>
      </w:r>
    </w:p>
    <w:p w14:paraId="735DCC84" w14:textId="77777777"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vi. Lake Ratio &amp;</w:t>
      </w:r>
    </w:p>
    <w:p w14:paraId="707BE5E0" w14:textId="46698FA7" w:rsidR="005C59D6" w:rsidRDefault="005C59D6" w:rsidP="005C59D6">
      <w:pPr>
        <w:shd w:val="clear" w:color="auto" w:fill="FFFFFF"/>
        <w:spacing w:before="300" w:after="340" w:line="384" w:lineRule="atLeast"/>
        <w:jc w:val="both"/>
        <w:rPr>
          <w:rFonts w:ascii="Open Sans" w:hAnsi="Open Sans" w:cs="Open Sans"/>
          <w:color w:val="3C3C3C"/>
        </w:rPr>
      </w:pPr>
      <w:r>
        <w:rPr>
          <w:rFonts w:ascii="Open Sans" w:hAnsi="Open Sans" w:cs="Open Sans"/>
          <w:color w:val="3C3C3C"/>
        </w:rPr>
        <w:t>vii. Gain to Pain Ratio (modified to smaller time frame)</w:t>
      </w:r>
    </w:p>
    <w:p w14:paraId="5AB8DEBF" w14:textId="01462081" w:rsidR="00BD3CFA" w:rsidRDefault="00BD3CFA" w:rsidP="005C59D6">
      <w:pPr>
        <w:shd w:val="clear" w:color="auto" w:fill="FFFFFF"/>
        <w:spacing w:before="300" w:after="340" w:line="384" w:lineRule="atLeast"/>
        <w:jc w:val="both"/>
        <w:rPr>
          <w:rFonts w:ascii="Open Sans" w:hAnsi="Open Sans" w:cs="Open Sans"/>
          <w:color w:val="3C3C3C"/>
        </w:rPr>
      </w:pPr>
    </w:p>
    <w:p w14:paraId="7A59A38A" w14:textId="0DE32201" w:rsidR="00BD3CFA" w:rsidRDefault="00C862DD" w:rsidP="005C59D6">
      <w:pPr>
        <w:shd w:val="clear" w:color="auto" w:fill="FFFFFF"/>
        <w:spacing w:before="300" w:after="340" w:line="384" w:lineRule="atLeast"/>
        <w:jc w:val="both"/>
        <w:rPr>
          <w:rFonts w:ascii="Open Sans" w:hAnsi="Open Sans" w:cs="Open Sans"/>
          <w:color w:val="3C3C3C"/>
        </w:rPr>
      </w:pPr>
      <w:r>
        <w:rPr>
          <w:noProof/>
        </w:rPr>
        <w:drawing>
          <wp:inline distT="0" distB="0" distL="0" distR="0" wp14:anchorId="5D9C424C" wp14:editId="4EA857D1">
            <wp:extent cx="4286250" cy="21812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0" cy="2181225"/>
                    </a:xfrm>
                    <a:prstGeom prst="rect">
                      <a:avLst/>
                    </a:prstGeom>
                  </pic:spPr>
                </pic:pic>
              </a:graphicData>
            </a:graphic>
          </wp:inline>
        </w:drawing>
      </w:r>
      <w:bookmarkStart w:id="0" w:name="_GoBack"/>
      <w:bookmarkEnd w:id="0"/>
    </w:p>
    <w:p w14:paraId="51D086B8" w14:textId="0C627B53" w:rsidR="00BD3CFA" w:rsidRDefault="00B02B59" w:rsidP="005C59D6">
      <w:pPr>
        <w:shd w:val="clear" w:color="auto" w:fill="FFFFFF"/>
        <w:spacing w:before="300" w:after="340" w:line="384" w:lineRule="atLeast"/>
        <w:jc w:val="both"/>
        <w:rPr>
          <w:rFonts w:ascii="Open Sans" w:hAnsi="Open Sans" w:cs="Open Sans"/>
          <w:color w:val="3C3C3C"/>
        </w:rPr>
      </w:pPr>
      <w:r>
        <w:rPr>
          <w:noProof/>
        </w:rPr>
        <w:drawing>
          <wp:inline distT="0" distB="0" distL="0" distR="0" wp14:anchorId="3921C6A4" wp14:editId="5FCE50DA">
            <wp:extent cx="2657475" cy="2057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7475" cy="2057400"/>
                    </a:xfrm>
                    <a:prstGeom prst="rect">
                      <a:avLst/>
                    </a:prstGeom>
                  </pic:spPr>
                </pic:pic>
              </a:graphicData>
            </a:graphic>
          </wp:inline>
        </w:drawing>
      </w:r>
    </w:p>
    <w:p w14:paraId="22C79A46" w14:textId="77777777" w:rsidR="00BD3CFA" w:rsidRDefault="00BD3CFA" w:rsidP="005C59D6">
      <w:pPr>
        <w:shd w:val="clear" w:color="auto" w:fill="FFFFFF"/>
        <w:spacing w:before="300" w:after="340" w:line="384" w:lineRule="atLeast"/>
        <w:jc w:val="both"/>
        <w:rPr>
          <w:rFonts w:ascii="Open Sans" w:hAnsi="Open Sans" w:cs="Open Sans"/>
          <w:color w:val="3C3C3C"/>
        </w:rPr>
      </w:pPr>
    </w:p>
    <w:p w14:paraId="5C2EC161" w14:textId="77777777" w:rsidR="005C59D6" w:rsidRDefault="005C59D6" w:rsidP="005C59D6">
      <w:pPr>
        <w:pStyle w:val="NormalWeb"/>
        <w:shd w:val="clear" w:color="auto" w:fill="FFFFFF"/>
        <w:spacing w:before="300" w:beforeAutospacing="0" w:after="340" w:afterAutospacing="0"/>
        <w:rPr>
          <w:rFonts w:ascii="Open Sans" w:hAnsi="Open Sans" w:cs="Open Sans"/>
          <w:color w:val="3C3C3C"/>
        </w:rPr>
      </w:pPr>
      <w:r>
        <w:rPr>
          <w:rFonts w:ascii="Open Sans" w:hAnsi="Open Sans" w:cs="Open Sans"/>
          <w:b/>
          <w:bCs/>
          <w:color w:val="3C3C3C"/>
        </w:rPr>
        <w:t>Analysis</w:t>
      </w:r>
      <w:r>
        <w:rPr>
          <w:rFonts w:ascii="Open Sans" w:hAnsi="Open Sans" w:cs="Open Sans"/>
          <w:color w:val="3C3C3C"/>
        </w:rPr>
        <w:t>:</w:t>
      </w:r>
    </w:p>
    <w:p w14:paraId="08BD7B96" w14:textId="1FEBC0EF" w:rsidR="005C59D6" w:rsidRDefault="005C59D6" w:rsidP="005C59D6">
      <w:pPr>
        <w:numPr>
          <w:ilvl w:val="0"/>
          <w:numId w:val="30"/>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In this example we adjusted our Hedge twice a day. Is this frequency too less/too much? Analyze and explain. </w:t>
      </w:r>
    </w:p>
    <w:p w14:paraId="1309D1EB" w14:textId="59200A77" w:rsidR="005C59D6" w:rsidRDefault="005C59D6" w:rsidP="005C59D6">
      <w:pPr>
        <w:shd w:val="clear" w:color="auto" w:fill="FFFFFF"/>
        <w:spacing w:before="100" w:beforeAutospacing="1" w:after="170" w:line="336" w:lineRule="atLeast"/>
        <w:rPr>
          <w:rFonts w:ascii="Open Sans" w:hAnsi="Open Sans" w:cs="Open Sans"/>
          <w:color w:val="3C3C3C"/>
        </w:rPr>
      </w:pPr>
      <w:r>
        <w:rPr>
          <w:rFonts w:ascii="Open Sans" w:hAnsi="Open Sans" w:cs="Open Sans"/>
          <w:color w:val="3C3C3C"/>
        </w:rPr>
        <w:t>I believe this frequency is too less. As the returns showed, there is a high variance even hedging in the open and in the close. To really hedge and have a delta near to zero we would need to do it more often. As DJ is a very liquid instrument it would be possible to do even in lower timeframes.</w:t>
      </w:r>
    </w:p>
    <w:p w14:paraId="683AD8B2" w14:textId="3D3E66E0" w:rsidR="005C59D6" w:rsidRDefault="005C59D6" w:rsidP="005C59D6">
      <w:pPr>
        <w:numPr>
          <w:ilvl w:val="0"/>
          <w:numId w:val="30"/>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lastRenderedPageBreak/>
        <w:t>Analyze and report the Risk &amp; Return characteristics of the two portfolios – the unhedged one and the one with Dynamic Hedging. Do they lose money overall? Which one is the riskier to trade?</w:t>
      </w:r>
    </w:p>
    <w:p w14:paraId="1DFD6B94" w14:textId="0838672F" w:rsidR="005C59D6" w:rsidRDefault="005C59D6" w:rsidP="005C59D6">
      <w:pPr>
        <w:shd w:val="clear" w:color="auto" w:fill="FFFFFF"/>
        <w:spacing w:before="100" w:beforeAutospacing="1" w:after="170" w:line="336" w:lineRule="atLeast"/>
        <w:rPr>
          <w:rFonts w:ascii="Open Sans" w:hAnsi="Open Sans" w:cs="Open Sans"/>
          <w:color w:val="3C3C3C"/>
        </w:rPr>
      </w:pPr>
      <w:r>
        <w:rPr>
          <w:rFonts w:ascii="Open Sans" w:hAnsi="Open Sans" w:cs="Open Sans"/>
          <w:color w:val="3C3C3C"/>
        </w:rPr>
        <w:t xml:space="preserve">They both make money. This happen probably because we have time decay in our favor. When we sell puts we have time decay in our favor and </w:t>
      </w:r>
      <w:proofErr w:type="gramStart"/>
      <w:r>
        <w:rPr>
          <w:rFonts w:ascii="Open Sans" w:hAnsi="Open Sans" w:cs="Open Sans"/>
          <w:color w:val="3C3C3C"/>
        </w:rPr>
        <w:t>also</w:t>
      </w:r>
      <w:proofErr w:type="gramEnd"/>
      <w:r>
        <w:rPr>
          <w:rFonts w:ascii="Open Sans" w:hAnsi="Open Sans" w:cs="Open Sans"/>
          <w:color w:val="3C3C3C"/>
        </w:rPr>
        <w:t xml:space="preserve"> we are delta positive. So overall the markets went up (which benefits the unhedged position) and we had the time decay in our favor.</w:t>
      </w:r>
    </w:p>
    <w:p w14:paraId="34980F23" w14:textId="76DB3BD4" w:rsidR="005C59D6" w:rsidRDefault="005C59D6" w:rsidP="005C59D6">
      <w:pPr>
        <w:numPr>
          <w:ilvl w:val="0"/>
          <w:numId w:val="30"/>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 xml:space="preserve">In case the dynamically-hedged portfolios </w:t>
      </w:r>
      <w:proofErr w:type="gramStart"/>
      <w:r>
        <w:rPr>
          <w:rFonts w:ascii="Open Sans" w:hAnsi="Open Sans" w:cs="Open Sans"/>
          <w:color w:val="3C3C3C"/>
        </w:rPr>
        <w:t>is</w:t>
      </w:r>
      <w:proofErr w:type="gramEnd"/>
      <w:r>
        <w:rPr>
          <w:rFonts w:ascii="Open Sans" w:hAnsi="Open Sans" w:cs="Open Sans"/>
          <w:color w:val="3C3C3C"/>
        </w:rPr>
        <w:t xml:space="preserve"> losing money, is a negative Gamma responsible for the same? If so, how did the negative Gamma materialize in the portfolio. Can Dynamic Delta Hedging ever offset the effects of a negative gamma in the portfolio?</w:t>
      </w:r>
    </w:p>
    <w:p w14:paraId="53933857" w14:textId="2089D787" w:rsidR="005C59D6" w:rsidRDefault="005C59D6" w:rsidP="005C59D6">
      <w:pPr>
        <w:shd w:val="clear" w:color="auto" w:fill="FFFFFF"/>
        <w:spacing w:before="100" w:beforeAutospacing="1" w:after="170" w:line="336" w:lineRule="atLeast"/>
        <w:rPr>
          <w:rFonts w:ascii="Open Sans" w:hAnsi="Open Sans" w:cs="Open Sans"/>
          <w:color w:val="3C3C3C"/>
        </w:rPr>
      </w:pPr>
      <w:r>
        <w:rPr>
          <w:rFonts w:ascii="Open Sans" w:hAnsi="Open Sans" w:cs="Open Sans"/>
          <w:color w:val="3C3C3C"/>
        </w:rPr>
        <w:t>Negative Gamma is not responsible for that because it acts sometimes in a way that benefits us and other times not. This is not deterministic. We could do some gamma hedging but that would affect the delta hedging which is usually more important. The exception would be very out of the money options.</w:t>
      </w:r>
    </w:p>
    <w:p w14:paraId="48898FD3" w14:textId="631E2551" w:rsidR="005C59D6" w:rsidRDefault="005C59D6" w:rsidP="005C59D6">
      <w:pPr>
        <w:numPr>
          <w:ilvl w:val="0"/>
          <w:numId w:val="30"/>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Does the Dynamic Hedging strategy overall auger a favorable risk-return profile? How would the strategy stand up against sudden unfavorable price shocks in the spot price?</w:t>
      </w:r>
    </w:p>
    <w:p w14:paraId="168A7503" w14:textId="7CCB9FBC" w:rsidR="005C59D6" w:rsidRDefault="005C59D6" w:rsidP="005C59D6">
      <w:pPr>
        <w:shd w:val="clear" w:color="auto" w:fill="FFFFFF"/>
        <w:spacing w:before="100" w:beforeAutospacing="1" w:after="170" w:line="336" w:lineRule="atLeast"/>
        <w:rPr>
          <w:rFonts w:ascii="Open Sans" w:hAnsi="Open Sans" w:cs="Open Sans"/>
          <w:color w:val="3C3C3C"/>
        </w:rPr>
      </w:pPr>
      <w:r>
        <w:rPr>
          <w:rFonts w:ascii="Open Sans" w:hAnsi="Open Sans" w:cs="Open Sans"/>
          <w:color w:val="3C3C3C"/>
        </w:rPr>
        <w:t>Overall Dynamic Hedging is a great strategy with favorable risk-returns profile. It is some kind of arbitrage in which the trader captures the theta in its favor, as he is not affected in thesis by market movements. But the hedging need to be made in higher frequencies, to avoid for example intraday price shocks in the spot price.</w:t>
      </w:r>
    </w:p>
    <w:p w14:paraId="605F70E2" w14:textId="57A7BD59" w:rsidR="005C59D6" w:rsidRDefault="005C59D6" w:rsidP="005C59D6">
      <w:pPr>
        <w:numPr>
          <w:ilvl w:val="0"/>
          <w:numId w:val="30"/>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Would Dynamic Hedging of a positive Gamma position make money overall? Why? What effect will it have on the risk of the portfolio?</w:t>
      </w:r>
    </w:p>
    <w:p w14:paraId="5917EE4D" w14:textId="5D0A3CBF" w:rsidR="005C59D6" w:rsidRDefault="00A21DDA" w:rsidP="005C59D6">
      <w:pPr>
        <w:shd w:val="clear" w:color="auto" w:fill="FFFFFF"/>
        <w:spacing w:before="100" w:beforeAutospacing="1" w:after="170" w:line="336" w:lineRule="atLeast"/>
        <w:rPr>
          <w:rFonts w:ascii="Open Sans" w:hAnsi="Open Sans" w:cs="Open Sans"/>
          <w:color w:val="3C3C3C"/>
        </w:rPr>
      </w:pPr>
      <w:r>
        <w:rPr>
          <w:rFonts w:ascii="Open Sans" w:hAnsi="Open Sans" w:cs="Open Sans"/>
          <w:color w:val="3C3C3C"/>
        </w:rPr>
        <w:t xml:space="preserve">This is dependent on the way that the spot price will move. It will usually benefit from strong moves. It will lose money in </w:t>
      </w:r>
      <w:proofErr w:type="spellStart"/>
      <w:proofErr w:type="gramStart"/>
      <w:r>
        <w:rPr>
          <w:rFonts w:ascii="Open Sans" w:hAnsi="Open Sans" w:cs="Open Sans"/>
          <w:color w:val="3C3C3C"/>
        </w:rPr>
        <w:t>a</w:t>
      </w:r>
      <w:proofErr w:type="spellEnd"/>
      <w:proofErr w:type="gramEnd"/>
      <w:r>
        <w:rPr>
          <w:rFonts w:ascii="Open Sans" w:hAnsi="Open Sans" w:cs="Open Sans"/>
          <w:color w:val="3C3C3C"/>
        </w:rPr>
        <w:t xml:space="preserve"> environment of lower volatility. </w:t>
      </w:r>
    </w:p>
    <w:p w14:paraId="487A8922" w14:textId="00DDDBAE" w:rsidR="005C59D6" w:rsidRDefault="005C59D6" w:rsidP="005C59D6">
      <w:pPr>
        <w:numPr>
          <w:ilvl w:val="0"/>
          <w:numId w:val="30"/>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What effect would increasing/decreasing volatility in prices of the underlying have on the frequency of Dynamic hedging and the risk of the overall portfolio?</w:t>
      </w:r>
    </w:p>
    <w:p w14:paraId="5A414A72" w14:textId="57ED51D7" w:rsidR="00BD3CFA" w:rsidRDefault="00BD3CFA" w:rsidP="00BD3CFA">
      <w:pPr>
        <w:shd w:val="clear" w:color="auto" w:fill="FFFFFF"/>
        <w:spacing w:before="100" w:beforeAutospacing="1" w:after="170" w:line="336" w:lineRule="atLeast"/>
        <w:rPr>
          <w:rFonts w:ascii="Open Sans" w:hAnsi="Open Sans" w:cs="Open Sans"/>
          <w:color w:val="3C3C3C"/>
        </w:rPr>
      </w:pPr>
      <w:r>
        <w:rPr>
          <w:rFonts w:ascii="Open Sans" w:hAnsi="Open Sans" w:cs="Open Sans"/>
          <w:color w:val="3C3C3C"/>
        </w:rPr>
        <w:t xml:space="preserve">A higher volatility environment would require a higher frequency of dynamic </w:t>
      </w:r>
      <w:proofErr w:type="spellStart"/>
      <w:r>
        <w:rPr>
          <w:rFonts w:ascii="Open Sans" w:hAnsi="Open Sans" w:cs="Open Sans"/>
          <w:color w:val="3C3C3C"/>
        </w:rPr>
        <w:t>heding</w:t>
      </w:r>
      <w:proofErr w:type="spellEnd"/>
      <w:r>
        <w:rPr>
          <w:rFonts w:ascii="Open Sans" w:hAnsi="Open Sans" w:cs="Open Sans"/>
          <w:color w:val="3C3C3C"/>
        </w:rPr>
        <w:t>. It would increase the risk of the overall portfolio and it would also increase the costs of trading (broker commissions).</w:t>
      </w:r>
    </w:p>
    <w:p w14:paraId="17BA39D6" w14:textId="1C688267" w:rsidR="00930D14" w:rsidRPr="00D86057" w:rsidRDefault="00930D14" w:rsidP="00493A49">
      <w:pPr>
        <w:shd w:val="clear" w:color="auto" w:fill="FFFFFF"/>
        <w:spacing w:before="100" w:beforeAutospacing="1" w:after="170" w:line="336" w:lineRule="atLeast"/>
        <w:jc w:val="both"/>
        <w:rPr>
          <w:rFonts w:ascii="Verdana" w:hAnsi="Verdana"/>
        </w:rPr>
      </w:pPr>
    </w:p>
    <w:sectPr w:rsidR="00930D14" w:rsidRPr="00D8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9E6"/>
    <w:multiLevelType w:val="multilevel"/>
    <w:tmpl w:val="1FF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70009"/>
    <w:multiLevelType w:val="multilevel"/>
    <w:tmpl w:val="EDC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872BE"/>
    <w:multiLevelType w:val="hybridMultilevel"/>
    <w:tmpl w:val="2A3EDE1A"/>
    <w:lvl w:ilvl="0" w:tplc="A1326E76">
      <w:numFmt w:val="bullet"/>
      <w:lvlText w:val=""/>
      <w:lvlJc w:val="left"/>
      <w:pPr>
        <w:ind w:left="1481" w:hanging="360"/>
      </w:pPr>
      <w:rPr>
        <w:rFonts w:ascii="Symbol" w:eastAsia="Times New Roman" w:hAnsi="Symbol" w:cs="Courier New"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1"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12898"/>
    <w:multiLevelType w:val="multilevel"/>
    <w:tmpl w:val="15D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062816"/>
    <w:multiLevelType w:val="multilevel"/>
    <w:tmpl w:val="2C94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97119"/>
    <w:multiLevelType w:val="multilevel"/>
    <w:tmpl w:val="20D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96EF1"/>
    <w:multiLevelType w:val="multilevel"/>
    <w:tmpl w:val="CF4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C004A7"/>
    <w:multiLevelType w:val="multilevel"/>
    <w:tmpl w:val="704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D53A86"/>
    <w:multiLevelType w:val="multilevel"/>
    <w:tmpl w:val="E65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1"/>
  </w:num>
  <w:num w:numId="3">
    <w:abstractNumId w:val="0"/>
  </w:num>
  <w:num w:numId="4">
    <w:abstractNumId w:val="16"/>
  </w:num>
  <w:num w:numId="5">
    <w:abstractNumId w:val="12"/>
  </w:num>
  <w:num w:numId="6">
    <w:abstractNumId w:val="23"/>
  </w:num>
  <w:num w:numId="7">
    <w:abstractNumId w:val="6"/>
  </w:num>
  <w:num w:numId="8">
    <w:abstractNumId w:val="7"/>
  </w:num>
  <w:num w:numId="9">
    <w:abstractNumId w:val="28"/>
  </w:num>
  <w:num w:numId="10">
    <w:abstractNumId w:val="17"/>
  </w:num>
  <w:num w:numId="11">
    <w:abstractNumId w:val="5"/>
  </w:num>
  <w:num w:numId="12">
    <w:abstractNumId w:val="14"/>
  </w:num>
  <w:num w:numId="13">
    <w:abstractNumId w:val="9"/>
  </w:num>
  <w:num w:numId="14">
    <w:abstractNumId w:val="24"/>
  </w:num>
  <w:num w:numId="15">
    <w:abstractNumId w:val="20"/>
  </w:num>
  <w:num w:numId="16">
    <w:abstractNumId w:val="2"/>
  </w:num>
  <w:num w:numId="17">
    <w:abstractNumId w:val="4"/>
  </w:num>
  <w:num w:numId="18">
    <w:abstractNumId w:val="1"/>
  </w:num>
  <w:num w:numId="19">
    <w:abstractNumId w:val="25"/>
  </w:num>
  <w:num w:numId="20">
    <w:abstractNumId w:val="22"/>
  </w:num>
  <w:num w:numId="21">
    <w:abstractNumId w:val="26"/>
  </w:num>
  <w:num w:numId="22">
    <w:abstractNumId w:val="8"/>
  </w:num>
  <w:num w:numId="23">
    <w:abstractNumId w:val="3"/>
  </w:num>
  <w:num w:numId="24">
    <w:abstractNumId w:val="27"/>
  </w:num>
  <w:num w:numId="25">
    <w:abstractNumId w:val="15"/>
  </w:num>
  <w:num w:numId="26">
    <w:abstractNumId w:val="21"/>
  </w:num>
  <w:num w:numId="27">
    <w:abstractNumId w:val="18"/>
  </w:num>
  <w:num w:numId="28">
    <w:abstractNumId w:val="10"/>
  </w:num>
  <w:num w:numId="29">
    <w:abstractNumId w:val="2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4B12"/>
    <w:rsid w:val="00067AB8"/>
    <w:rsid w:val="00094422"/>
    <w:rsid w:val="00096AB1"/>
    <w:rsid w:val="000A0AC7"/>
    <w:rsid w:val="000A283E"/>
    <w:rsid w:val="000A7E12"/>
    <w:rsid w:val="000C4FA8"/>
    <w:rsid w:val="000D14E2"/>
    <w:rsid w:val="000D7572"/>
    <w:rsid w:val="000F0D37"/>
    <w:rsid w:val="000F1E6F"/>
    <w:rsid w:val="00115AC7"/>
    <w:rsid w:val="00141363"/>
    <w:rsid w:val="00153BE4"/>
    <w:rsid w:val="00155252"/>
    <w:rsid w:val="0017253A"/>
    <w:rsid w:val="00181671"/>
    <w:rsid w:val="001A07FD"/>
    <w:rsid w:val="001D2347"/>
    <w:rsid w:val="001D3801"/>
    <w:rsid w:val="001E3744"/>
    <w:rsid w:val="001E4819"/>
    <w:rsid w:val="001E7F68"/>
    <w:rsid w:val="001F5D72"/>
    <w:rsid w:val="00202733"/>
    <w:rsid w:val="00206883"/>
    <w:rsid w:val="00213263"/>
    <w:rsid w:val="002231BA"/>
    <w:rsid w:val="00225372"/>
    <w:rsid w:val="00231463"/>
    <w:rsid w:val="00234148"/>
    <w:rsid w:val="00250B50"/>
    <w:rsid w:val="00254505"/>
    <w:rsid w:val="002609A0"/>
    <w:rsid w:val="0027271D"/>
    <w:rsid w:val="00293BE5"/>
    <w:rsid w:val="002A52AA"/>
    <w:rsid w:val="002C3FAF"/>
    <w:rsid w:val="003004DF"/>
    <w:rsid w:val="00302F59"/>
    <w:rsid w:val="00310A23"/>
    <w:rsid w:val="003154AA"/>
    <w:rsid w:val="003304A0"/>
    <w:rsid w:val="00334D55"/>
    <w:rsid w:val="00334E77"/>
    <w:rsid w:val="00336EFD"/>
    <w:rsid w:val="003464C2"/>
    <w:rsid w:val="00347EB1"/>
    <w:rsid w:val="0035409F"/>
    <w:rsid w:val="00381BF7"/>
    <w:rsid w:val="00383CED"/>
    <w:rsid w:val="003847B9"/>
    <w:rsid w:val="003D1999"/>
    <w:rsid w:val="003D5D58"/>
    <w:rsid w:val="003D7FD3"/>
    <w:rsid w:val="003E3484"/>
    <w:rsid w:val="003F458F"/>
    <w:rsid w:val="003F7008"/>
    <w:rsid w:val="004027B5"/>
    <w:rsid w:val="004419D6"/>
    <w:rsid w:val="00443BCC"/>
    <w:rsid w:val="00444D74"/>
    <w:rsid w:val="00446C54"/>
    <w:rsid w:val="00461120"/>
    <w:rsid w:val="004636DD"/>
    <w:rsid w:val="00464298"/>
    <w:rsid w:val="00467277"/>
    <w:rsid w:val="00471556"/>
    <w:rsid w:val="0047277F"/>
    <w:rsid w:val="004757D9"/>
    <w:rsid w:val="00477543"/>
    <w:rsid w:val="0048683B"/>
    <w:rsid w:val="00487F3A"/>
    <w:rsid w:val="00492B23"/>
    <w:rsid w:val="00493A49"/>
    <w:rsid w:val="004D12FD"/>
    <w:rsid w:val="004D421B"/>
    <w:rsid w:val="004E27C2"/>
    <w:rsid w:val="004E3C72"/>
    <w:rsid w:val="004F2D4E"/>
    <w:rsid w:val="00502C41"/>
    <w:rsid w:val="00502DB3"/>
    <w:rsid w:val="00523ECF"/>
    <w:rsid w:val="00525FAF"/>
    <w:rsid w:val="00530069"/>
    <w:rsid w:val="005349AF"/>
    <w:rsid w:val="00540D04"/>
    <w:rsid w:val="00544B19"/>
    <w:rsid w:val="00557161"/>
    <w:rsid w:val="00560277"/>
    <w:rsid w:val="005710D1"/>
    <w:rsid w:val="00574464"/>
    <w:rsid w:val="0059682E"/>
    <w:rsid w:val="005C59D6"/>
    <w:rsid w:val="005F7037"/>
    <w:rsid w:val="00605140"/>
    <w:rsid w:val="006428F8"/>
    <w:rsid w:val="00643205"/>
    <w:rsid w:val="00651DE7"/>
    <w:rsid w:val="00663B45"/>
    <w:rsid w:val="006660B1"/>
    <w:rsid w:val="0067684A"/>
    <w:rsid w:val="00680B0A"/>
    <w:rsid w:val="006978C7"/>
    <w:rsid w:val="006A203C"/>
    <w:rsid w:val="006C03C8"/>
    <w:rsid w:val="006D1C52"/>
    <w:rsid w:val="006D2F3C"/>
    <w:rsid w:val="006E6E1B"/>
    <w:rsid w:val="006F3063"/>
    <w:rsid w:val="00727A4F"/>
    <w:rsid w:val="007370BF"/>
    <w:rsid w:val="007402C9"/>
    <w:rsid w:val="007452C7"/>
    <w:rsid w:val="007510B0"/>
    <w:rsid w:val="007654F6"/>
    <w:rsid w:val="00787C47"/>
    <w:rsid w:val="0079139B"/>
    <w:rsid w:val="00792B5C"/>
    <w:rsid w:val="007931C0"/>
    <w:rsid w:val="007C1637"/>
    <w:rsid w:val="007C297C"/>
    <w:rsid w:val="00802362"/>
    <w:rsid w:val="00802A0A"/>
    <w:rsid w:val="008176E4"/>
    <w:rsid w:val="00827D78"/>
    <w:rsid w:val="008460B9"/>
    <w:rsid w:val="008745B4"/>
    <w:rsid w:val="008816D3"/>
    <w:rsid w:val="00890B9A"/>
    <w:rsid w:val="008A4BCD"/>
    <w:rsid w:val="008A5F44"/>
    <w:rsid w:val="008A6CEB"/>
    <w:rsid w:val="008B2924"/>
    <w:rsid w:val="008C67BB"/>
    <w:rsid w:val="008D07F9"/>
    <w:rsid w:val="008F031A"/>
    <w:rsid w:val="00902704"/>
    <w:rsid w:val="00913864"/>
    <w:rsid w:val="00922A92"/>
    <w:rsid w:val="00924542"/>
    <w:rsid w:val="0093065A"/>
    <w:rsid w:val="00930D14"/>
    <w:rsid w:val="00930D35"/>
    <w:rsid w:val="00931B85"/>
    <w:rsid w:val="009727EC"/>
    <w:rsid w:val="009853A8"/>
    <w:rsid w:val="009A6E2D"/>
    <w:rsid w:val="009B0878"/>
    <w:rsid w:val="009B7B5D"/>
    <w:rsid w:val="009C73D3"/>
    <w:rsid w:val="009F1E36"/>
    <w:rsid w:val="00A13272"/>
    <w:rsid w:val="00A21DDA"/>
    <w:rsid w:val="00A2277F"/>
    <w:rsid w:val="00A5450A"/>
    <w:rsid w:val="00A554F8"/>
    <w:rsid w:val="00A618F1"/>
    <w:rsid w:val="00A667E6"/>
    <w:rsid w:val="00A669B0"/>
    <w:rsid w:val="00A7183C"/>
    <w:rsid w:val="00AA127C"/>
    <w:rsid w:val="00B02B59"/>
    <w:rsid w:val="00B16341"/>
    <w:rsid w:val="00B7389D"/>
    <w:rsid w:val="00B838B9"/>
    <w:rsid w:val="00BA36C3"/>
    <w:rsid w:val="00BA5620"/>
    <w:rsid w:val="00BA670D"/>
    <w:rsid w:val="00BB0235"/>
    <w:rsid w:val="00BC5438"/>
    <w:rsid w:val="00BD1A80"/>
    <w:rsid w:val="00BD3CFA"/>
    <w:rsid w:val="00BD4936"/>
    <w:rsid w:val="00C062D8"/>
    <w:rsid w:val="00C069AF"/>
    <w:rsid w:val="00C07300"/>
    <w:rsid w:val="00C328F9"/>
    <w:rsid w:val="00C766B2"/>
    <w:rsid w:val="00C84598"/>
    <w:rsid w:val="00C862DD"/>
    <w:rsid w:val="00CA1B0F"/>
    <w:rsid w:val="00CB1A91"/>
    <w:rsid w:val="00CB7A78"/>
    <w:rsid w:val="00CF320D"/>
    <w:rsid w:val="00CF7F79"/>
    <w:rsid w:val="00D03C11"/>
    <w:rsid w:val="00D1636E"/>
    <w:rsid w:val="00D352F4"/>
    <w:rsid w:val="00D361EF"/>
    <w:rsid w:val="00D86057"/>
    <w:rsid w:val="00DA4B26"/>
    <w:rsid w:val="00DB0084"/>
    <w:rsid w:val="00DC3E3C"/>
    <w:rsid w:val="00DF7D9C"/>
    <w:rsid w:val="00E07E16"/>
    <w:rsid w:val="00E21349"/>
    <w:rsid w:val="00E4634E"/>
    <w:rsid w:val="00E5022D"/>
    <w:rsid w:val="00E62304"/>
    <w:rsid w:val="00E76B51"/>
    <w:rsid w:val="00EC286B"/>
    <w:rsid w:val="00EE5BC0"/>
    <w:rsid w:val="00F40925"/>
    <w:rsid w:val="00F44E24"/>
    <w:rsid w:val="00F46444"/>
    <w:rsid w:val="00F66309"/>
    <w:rsid w:val="00FA24B7"/>
    <w:rsid w:val="00FC2B2A"/>
    <w:rsid w:val="00FC7280"/>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paragraph" w:styleId="Heading5">
    <w:name w:val="heading 5"/>
    <w:basedOn w:val="Normal"/>
    <w:next w:val="Normal"/>
    <w:link w:val="Heading5Char"/>
    <w:uiPriority w:val="9"/>
    <w:semiHidden/>
    <w:unhideWhenUsed/>
    <w:qFormat/>
    <w:rsid w:val="005C59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customStyle="1" w:styleId="UnresolvedMention2">
    <w:name w:val="Unresolved Mention2"/>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59682E"/>
  </w:style>
  <w:style w:type="character" w:customStyle="1" w:styleId="Heading5Char">
    <w:name w:val="Heading 5 Char"/>
    <w:basedOn w:val="DefaultParagraphFont"/>
    <w:link w:val="Heading5"/>
    <w:uiPriority w:val="9"/>
    <w:semiHidden/>
    <w:rsid w:val="005C59D6"/>
    <w:rPr>
      <w:rFonts w:asciiTheme="majorHAnsi" w:eastAsiaTheme="majorEastAsia" w:hAnsiTheme="majorHAnsi" w:cstheme="majorBidi"/>
      <w:color w:val="2F5496" w:themeColor="accent1" w:themeShade="B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34891765">
      <w:bodyDiv w:val="1"/>
      <w:marLeft w:val="0"/>
      <w:marRight w:val="0"/>
      <w:marTop w:val="0"/>
      <w:marBottom w:val="0"/>
      <w:divBdr>
        <w:top w:val="none" w:sz="0" w:space="0" w:color="auto"/>
        <w:left w:val="none" w:sz="0" w:space="0" w:color="auto"/>
        <w:bottom w:val="none" w:sz="0" w:space="0" w:color="auto"/>
        <w:right w:val="none" w:sz="0" w:space="0" w:color="auto"/>
      </w:divBdr>
    </w:div>
    <w:div w:id="376781977">
      <w:bodyDiv w:val="1"/>
      <w:marLeft w:val="0"/>
      <w:marRight w:val="0"/>
      <w:marTop w:val="0"/>
      <w:marBottom w:val="0"/>
      <w:divBdr>
        <w:top w:val="none" w:sz="0" w:space="0" w:color="auto"/>
        <w:left w:val="none" w:sz="0" w:space="0" w:color="auto"/>
        <w:bottom w:val="none" w:sz="0" w:space="0" w:color="auto"/>
        <w:right w:val="none" w:sz="0" w:space="0" w:color="auto"/>
      </w:divBdr>
    </w:div>
    <w:div w:id="420221588">
      <w:bodyDiv w:val="1"/>
      <w:marLeft w:val="0"/>
      <w:marRight w:val="0"/>
      <w:marTop w:val="0"/>
      <w:marBottom w:val="0"/>
      <w:divBdr>
        <w:top w:val="none" w:sz="0" w:space="0" w:color="auto"/>
        <w:left w:val="none" w:sz="0" w:space="0" w:color="auto"/>
        <w:bottom w:val="none" w:sz="0" w:space="0" w:color="auto"/>
        <w:right w:val="none" w:sz="0" w:space="0" w:color="auto"/>
      </w:divBdr>
      <w:divsChild>
        <w:div w:id="1736977279">
          <w:blockQuote w:val="1"/>
          <w:marLeft w:val="600"/>
          <w:marRight w:val="600"/>
          <w:marTop w:val="240"/>
          <w:marBottom w:val="240"/>
          <w:divBdr>
            <w:top w:val="none" w:sz="0" w:space="0" w:color="auto"/>
            <w:left w:val="none" w:sz="0" w:space="0" w:color="auto"/>
            <w:bottom w:val="none" w:sz="0" w:space="0" w:color="auto"/>
            <w:right w:val="none" w:sz="0" w:space="0" w:color="auto"/>
          </w:divBdr>
        </w:div>
        <w:div w:id="1029529821">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9505477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98346504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108500170">
      <w:bodyDiv w:val="1"/>
      <w:marLeft w:val="0"/>
      <w:marRight w:val="0"/>
      <w:marTop w:val="0"/>
      <w:marBottom w:val="0"/>
      <w:divBdr>
        <w:top w:val="none" w:sz="0" w:space="0" w:color="auto"/>
        <w:left w:val="none" w:sz="0" w:space="0" w:color="auto"/>
        <w:bottom w:val="none" w:sz="0" w:space="0" w:color="auto"/>
        <w:right w:val="none" w:sz="0" w:space="0" w:color="auto"/>
      </w:divBdr>
    </w:div>
    <w:div w:id="1176265041">
      <w:bodyDiv w:val="1"/>
      <w:marLeft w:val="0"/>
      <w:marRight w:val="0"/>
      <w:marTop w:val="0"/>
      <w:marBottom w:val="0"/>
      <w:divBdr>
        <w:top w:val="none" w:sz="0" w:space="0" w:color="auto"/>
        <w:left w:val="none" w:sz="0" w:space="0" w:color="auto"/>
        <w:bottom w:val="none" w:sz="0" w:space="0" w:color="auto"/>
        <w:right w:val="none" w:sz="0" w:space="0" w:color="auto"/>
      </w:divBdr>
      <w:divsChild>
        <w:div w:id="1243678192">
          <w:marLeft w:val="336"/>
          <w:marRight w:val="0"/>
          <w:marTop w:val="120"/>
          <w:marBottom w:val="312"/>
          <w:divBdr>
            <w:top w:val="none" w:sz="0" w:space="0" w:color="auto"/>
            <w:left w:val="none" w:sz="0" w:space="0" w:color="auto"/>
            <w:bottom w:val="none" w:sz="0" w:space="0" w:color="auto"/>
            <w:right w:val="none" w:sz="0" w:space="0" w:color="auto"/>
          </w:divBdr>
          <w:divsChild>
            <w:div w:id="63987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3817867">
          <w:marLeft w:val="336"/>
          <w:marRight w:val="0"/>
          <w:marTop w:val="120"/>
          <w:marBottom w:val="312"/>
          <w:divBdr>
            <w:top w:val="none" w:sz="0" w:space="0" w:color="auto"/>
            <w:left w:val="none" w:sz="0" w:space="0" w:color="auto"/>
            <w:bottom w:val="none" w:sz="0" w:space="0" w:color="auto"/>
            <w:right w:val="none" w:sz="0" w:space="0" w:color="auto"/>
          </w:divBdr>
          <w:divsChild>
            <w:div w:id="1525555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928241">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576891925">
      <w:bodyDiv w:val="1"/>
      <w:marLeft w:val="0"/>
      <w:marRight w:val="0"/>
      <w:marTop w:val="0"/>
      <w:marBottom w:val="0"/>
      <w:divBdr>
        <w:top w:val="none" w:sz="0" w:space="0" w:color="auto"/>
        <w:left w:val="none" w:sz="0" w:space="0" w:color="auto"/>
        <w:bottom w:val="none" w:sz="0" w:space="0" w:color="auto"/>
        <w:right w:val="none" w:sz="0" w:space="0" w:color="auto"/>
      </w:divBdr>
    </w:div>
    <w:div w:id="176646073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30753639">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456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nikolaslippmann@gmail.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14</Pages>
  <Words>943</Words>
  <Characters>5379</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Pareschi</cp:lastModifiedBy>
  <cp:revision>6</cp:revision>
  <dcterms:created xsi:type="dcterms:W3CDTF">2018-07-07T18:58:00Z</dcterms:created>
  <dcterms:modified xsi:type="dcterms:W3CDTF">2018-07-09T03:05:00Z</dcterms:modified>
</cp:coreProperties>
</file>