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B23C" w14:textId="4ACB1E50" w:rsidR="00B07A71" w:rsidRDefault="00B07A71" w:rsidP="00B07A71">
      <w:pPr>
        <w:pStyle w:val="Heading2"/>
      </w:pPr>
      <w:r w:rsidRPr="00B07A71">
        <w:t>Mini Literature Review: Sub-Sequencing Long Time-Series and Seasonality for LSTM Models</w:t>
      </w:r>
    </w:p>
    <w:p w14:paraId="7FD818DD" w14:textId="77777777" w:rsidR="00B07A71" w:rsidRPr="00B07A71" w:rsidRDefault="00B07A71" w:rsidP="00B07A71"/>
    <w:p w14:paraId="0A1CBD48" w14:textId="203ECDDF" w:rsidR="00B07A71" w:rsidRDefault="00B07A71" w:rsidP="00B07A71">
      <w:r>
        <w:t>When working with long time-series, a common first step before using neural networks such as LSTMs is to break the data into smaller, manageable pieces. Instead of feeding the full series into the model, researchers typically create fixed-length windows that move across the data. This “sliding-window” approach turns one long sequence into many shorter training samples. As explained by Hewamalage et al. (2021), this helps the LSTM focus on learning the most relevant local patterns, reduces computational effort, and avoids common issues like vanishing gradients. Similarly, Fawaz et al. (2019) point out that sub-sequencing effectively increases the size of the training dataset, which is especially helpful when only one historical series is available.</w:t>
      </w:r>
    </w:p>
    <w:p w14:paraId="1AA28309" w14:textId="3F3D51ED" w:rsidR="00B07A71" w:rsidRDefault="00B07A71" w:rsidP="00B07A71">
      <w:r>
        <w:t>Seasonality plays an important role in how these windows should be chosen. If the data shows a clear seasonal cycle</w:t>
      </w:r>
      <w:r w:rsidR="00E40ADE">
        <w:t xml:space="preserve"> </w:t>
      </w:r>
      <w:r>
        <w:t>like monthly beer production repeating every year</w:t>
      </w:r>
      <w:r w:rsidR="00E40ADE">
        <w:t xml:space="preserve">, </w:t>
      </w:r>
      <w:r>
        <w:t>the length of the window needs to reflect that cycle. Lemke and Gabrys (2019) highlight that windows shorter than the seasonal period make it difficult for the model to learn recurring patterns. For monthly data, this usually means using at least 12 time steps per window, and in many studies even 24 or 36 to ensure the full pattern is captured. In some cases, seasonal decomposition methods such as STL can be applied beforehand. Hyndman and Athanasopoulos (2021) note that removing seasonal and trend components before modelling can simplify the structure of the data and help the model learn more effectively.</w:t>
      </w:r>
    </w:p>
    <w:p w14:paraId="26DD023E" w14:textId="55858BA7" w:rsidR="00B07A71" w:rsidRDefault="00B07A71" w:rsidP="00B07A71">
      <w:r>
        <w:t xml:space="preserve">LSTM models can learn trends and seasonality in two ways. One option is to feed the raw time-series directly into the network and let the LSTM discover these patterns on its own. This </w:t>
      </w:r>
      <w:r w:rsidR="00E40ADE">
        <w:t>works but</w:t>
      </w:r>
      <w:r>
        <w:t xml:space="preserve"> typically requires longer windows or additional training data. The second option is to handle these components explicitly through preprocessing. Bandara et al. (2020) show that models trained on de</w:t>
      </w:r>
      <w:r w:rsidR="00E40ADE">
        <w:t xml:space="preserve"> </w:t>
      </w:r>
      <w:r>
        <w:t>seasonalized data, with the seasonal component added back afterward, often perform better. Another approach is to include simple seasonal indicators</w:t>
      </w:r>
      <w:r w:rsidR="00E40ADE">
        <w:t xml:space="preserve">, </w:t>
      </w:r>
      <w:r>
        <w:t>such as month-of-year</w:t>
      </w:r>
      <w:r w:rsidR="00E40ADE">
        <w:t xml:space="preserve">, </w:t>
      </w:r>
      <w:r>
        <w:t>as extra features, which Bianchi et al. (2022) found can help LSTMs recognize seasonal patterns more consistently.</w:t>
      </w:r>
    </w:p>
    <w:p w14:paraId="38B80CB9" w14:textId="7F4B632D" w:rsidR="00B07A71" w:rsidRDefault="00B07A71" w:rsidP="00E40ADE">
      <w:r>
        <w:t>Overall, the literature agrees that dividing a long time-series into shorter sliding windows is a practical and effective preparation step, the window size should be chosen with the seasonal structure of the data in mind, and LSTMs are flexible enough to model trend and seasonality either directly from raw input sequences or with the support of decomposition and seasonal features. These decisions have a direct impact on the accuracy and stability of the final forecasting model.</w:t>
      </w:r>
    </w:p>
    <w:p w14:paraId="0E395C57" w14:textId="297CDC02" w:rsidR="00B07A71" w:rsidRDefault="00B07A71" w:rsidP="00B07A71">
      <w:pPr>
        <w:pStyle w:val="Heading2"/>
      </w:pPr>
      <w:r>
        <w:lastRenderedPageBreak/>
        <w:t>References</w:t>
      </w:r>
    </w:p>
    <w:p w14:paraId="097ED2EF" w14:textId="77777777" w:rsidR="00B07A71" w:rsidRPr="00B07A71" w:rsidRDefault="00B07A71" w:rsidP="00B07A71"/>
    <w:p w14:paraId="07F46E29" w14:textId="616ED557" w:rsidR="00B07A71" w:rsidRDefault="00B07A71" w:rsidP="00B07A71">
      <w:r>
        <w:t>Bandara, K., Bergmeir, C. &amp; Smyl, S. (2020), “Forecasting across time series databases using recurrent neural networks on groups of similar series: A clustering approach”, Expert Systems with Applications, 140, pp. 112896.</w:t>
      </w:r>
    </w:p>
    <w:p w14:paraId="041DF8F0" w14:textId="73FB657C" w:rsidR="00B07A71" w:rsidRDefault="00B07A71" w:rsidP="00B07A71">
      <w:r>
        <w:t>Bianchi, F.M., Livi, L., Rizzi, A. &amp; Sadeghian, A. (2022), Recurrent Neural Networks for Short-Term Load Forecasting, Springer.</w:t>
      </w:r>
    </w:p>
    <w:p w14:paraId="16A1BD19" w14:textId="0E71420E" w:rsidR="00B07A71" w:rsidRDefault="00B07A71" w:rsidP="00B07A71">
      <w:r>
        <w:t>Fawaz, H.I., Forestier, G., Weber, J., Idoumghar, L. &amp; Muller, P.A. (2019), “Deep learning for time series classification: A review”, Data Mining and Knowledge Discovery, 33(4), pp. 917–963.</w:t>
      </w:r>
    </w:p>
    <w:p w14:paraId="154583D1" w14:textId="29FFDE3E" w:rsidR="00B07A71" w:rsidRDefault="00B07A71" w:rsidP="00B07A71">
      <w:r>
        <w:t>Hewamalage, H., Bergmeir, C. &amp; Bandara, K. (2021), “Recurrent neural networks for time series forecasting: Current status and future directions”, International Journal of Forecasting, 37(1), pp. 388–427.</w:t>
      </w:r>
    </w:p>
    <w:p w14:paraId="479E3082" w14:textId="57FDAB1E" w:rsidR="00B07A71" w:rsidRDefault="00B07A71" w:rsidP="00B07A71">
      <w:r>
        <w:t>Hyndman, R. &amp; Athanasopoulos, G. (2021), Forecasting: Principles and Practice, 3rd edn., OTexts.</w:t>
      </w:r>
    </w:p>
    <w:p w14:paraId="5D15245B" w14:textId="1AB7CE96" w:rsidR="00B07A71" w:rsidRDefault="00B07A71" w:rsidP="00B07A71">
      <w:r>
        <w:t>Lemke, C. &amp; Gabrys, B. (2019), “Meta-learning for time series forecasting and forecast combination”, Neurocomputing, 353, pp. 1–16.</w:t>
      </w:r>
    </w:p>
    <w:sectPr w:rsidR="00B07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71"/>
    <w:rsid w:val="006207BA"/>
    <w:rsid w:val="008C41A6"/>
    <w:rsid w:val="00B07A71"/>
    <w:rsid w:val="00E40ADE"/>
    <w:rsid w:val="00FD5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DD7E8"/>
  <w15:chartTrackingRefBased/>
  <w15:docId w15:val="{D25199E8-6D19-4112-B0E3-EC86DF8B0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7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7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A71"/>
    <w:rPr>
      <w:rFonts w:eastAsiaTheme="majorEastAsia" w:cstheme="majorBidi"/>
      <w:color w:val="272727" w:themeColor="text1" w:themeTint="D8"/>
    </w:rPr>
  </w:style>
  <w:style w:type="paragraph" w:styleId="Title">
    <w:name w:val="Title"/>
    <w:basedOn w:val="Normal"/>
    <w:next w:val="Normal"/>
    <w:link w:val="TitleChar"/>
    <w:uiPriority w:val="10"/>
    <w:qFormat/>
    <w:rsid w:val="00B07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A71"/>
    <w:pPr>
      <w:spacing w:before="160"/>
      <w:jc w:val="center"/>
    </w:pPr>
    <w:rPr>
      <w:i/>
      <w:iCs/>
      <w:color w:val="404040" w:themeColor="text1" w:themeTint="BF"/>
    </w:rPr>
  </w:style>
  <w:style w:type="character" w:customStyle="1" w:styleId="QuoteChar">
    <w:name w:val="Quote Char"/>
    <w:basedOn w:val="DefaultParagraphFont"/>
    <w:link w:val="Quote"/>
    <w:uiPriority w:val="29"/>
    <w:rsid w:val="00B07A71"/>
    <w:rPr>
      <w:i/>
      <w:iCs/>
      <w:color w:val="404040" w:themeColor="text1" w:themeTint="BF"/>
    </w:rPr>
  </w:style>
  <w:style w:type="paragraph" w:styleId="ListParagraph">
    <w:name w:val="List Paragraph"/>
    <w:basedOn w:val="Normal"/>
    <w:uiPriority w:val="34"/>
    <w:qFormat/>
    <w:rsid w:val="00B07A71"/>
    <w:pPr>
      <w:ind w:left="720"/>
      <w:contextualSpacing/>
    </w:pPr>
  </w:style>
  <w:style w:type="character" w:styleId="IntenseEmphasis">
    <w:name w:val="Intense Emphasis"/>
    <w:basedOn w:val="DefaultParagraphFont"/>
    <w:uiPriority w:val="21"/>
    <w:qFormat/>
    <w:rsid w:val="00B07A71"/>
    <w:rPr>
      <w:i/>
      <w:iCs/>
      <w:color w:val="0F4761" w:themeColor="accent1" w:themeShade="BF"/>
    </w:rPr>
  </w:style>
  <w:style w:type="paragraph" w:styleId="IntenseQuote">
    <w:name w:val="Intense Quote"/>
    <w:basedOn w:val="Normal"/>
    <w:next w:val="Normal"/>
    <w:link w:val="IntenseQuoteChar"/>
    <w:uiPriority w:val="30"/>
    <w:qFormat/>
    <w:rsid w:val="00B07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A71"/>
    <w:rPr>
      <w:i/>
      <w:iCs/>
      <w:color w:val="0F4761" w:themeColor="accent1" w:themeShade="BF"/>
    </w:rPr>
  </w:style>
  <w:style w:type="character" w:styleId="IntenseReference">
    <w:name w:val="Intense Reference"/>
    <w:basedOn w:val="DefaultParagraphFont"/>
    <w:uiPriority w:val="32"/>
    <w:qFormat/>
    <w:rsid w:val="00B07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E1C94-1516-45A0-A28F-1A1D8E638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Isuru Mulle Gamage</dc:creator>
  <cp:keywords/>
  <dc:description/>
  <cp:lastModifiedBy>Isuru Mulle Gamage</cp:lastModifiedBy>
  <cp:revision>2</cp:revision>
  <dcterms:created xsi:type="dcterms:W3CDTF">2025-11-15T14:31:00Z</dcterms:created>
  <dcterms:modified xsi:type="dcterms:W3CDTF">2025-11-15T14:36:00Z</dcterms:modified>
</cp:coreProperties>
</file>