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Тестирование конвейера gosxcli</w:t>
      </w:r>
    </w:p>
    <w:p>
      <w:pPr>
        <w:pStyle w:val="Subtitle"/>
      </w:pPr>
      <w:r>
        <w:t xml:space="preserve">Проверка скиллов drawio-from-spec и gost-docx-pipeline</w:t>
      </w:r>
    </w:p>
    <w:p>
      <w:pPr>
        <w:pStyle w:val="Author"/>
      </w:pPr>
      <w:r>
        <w:t xml:space="preserve">Николай Груданов</w:t>
      </w:r>
    </w:p>
    <w:p>
      <w:pPr>
        <w:pStyle w:val="Date"/>
      </w:pPr>
      <w:r>
        <w:t xml:space="preserve">2026</w:t>
      </w:r>
    </w:p>
    <w:bookmarkStart w:id="20" w:name="содержание"/>
    <w:p>
      <w:pPr>
        <w:pStyle w:val="Heading1"/>
      </w:pPr>
      <w:r>
        <w:t xml:space="preserve">СОДЕРЖАНИЕ</w:t>
      </w:r>
    </w:p>
    <w:p>
      <w:pPr>
        <w:pStyle w:val="FirstParagraph"/>
      </w:pPr>
      <w:r>
        <w:rPr>
          <w:rFonts w:hint="eastAsia"/>
        </w:rPr>
        <w:t xml:space="preserve">{:.标注}</w:t>
      </w:r>
      <w:r>
        <w:t xml:space="preserve"> </w:t>
      </w:r>
      <w:r>
        <w:t xml:space="preserve">1 Введение</w:t>
      </w:r>
      <w:r>
        <w:t xml:space="preserve"> </w:t>
      </w:r>
      <w:r>
        <w:t xml:space="preserve">2 Описание проекта</w:t>
      </w:r>
      <w:r>
        <w:t xml:space="preserve"> </w:t>
      </w:r>
      <w:r>
        <w:t xml:space="preserve">3 Архитектура системы</w:t>
      </w:r>
      <w:r>
        <w:t xml:space="preserve"> </w:t>
      </w:r>
      <w:r>
        <w:t xml:space="preserve">4 Конвейер конвертации</w:t>
      </w:r>
      <w:r>
        <w:t xml:space="preserve"> </w:t>
      </w:r>
      <w:r>
        <w:t xml:space="preserve">5 Структура данных</w:t>
      </w:r>
      <w:r>
        <w:t xml:space="preserve"> </w:t>
      </w:r>
      <w:r>
        <w:t xml:space="preserve">6 Заключение</w:t>
      </w:r>
    </w:p>
    <w:p>
      <w:r>
        <w:pict>
          <v:rect style="width:0;height:1.5pt" o:hralign="center" o:hrstd="t" o:hr="t"/>
        </w:pict>
      </w:r>
    </w:p>
    <w:bookmarkEnd w:id="20"/>
    <w:bookmarkStart w:id="21" w:name="введение"/>
    <w:p>
      <w:pPr>
        <w:pStyle w:val="Heading1"/>
      </w:pPr>
      <w:r>
        <w:t xml:space="preserve">1 Введение</w:t>
      </w:r>
    </w:p>
    <w:p>
      <w:pPr>
        <w:pStyle w:val="FirstParagraph"/>
      </w:pPr>
      <w:r>
        <w:t xml:space="preserve">В рамках подготовки выпускной квалификационной работы (ВКР) было проведено тестирование двух новых программных скиллов:</w:t>
      </w:r>
      <w:r>
        <w:t xml:space="preserve"> </w:t>
      </w:r>
      <w:r>
        <w:rPr>
          <w:rStyle w:val="VerbatimChar"/>
        </w:rPr>
        <w:t xml:space="preserve">drawio-from-spec</w:t>
      </w:r>
      <w:r>
        <w:t xml:space="preserve"> </w:t>
      </w:r>
      <w:r>
        <w:t xml:space="preserve">— для генерации диаграмм в формате draw.io из JSON-спецификаций, и</w:t>
      </w:r>
      <w:r>
        <w:t xml:space="preserve"> </w:t>
      </w:r>
      <w:r>
        <w:rPr>
          <w:rStyle w:val="VerbatimChar"/>
        </w:rPr>
        <w:t xml:space="preserve">gost-docx-pipeline</w:t>
      </w:r>
      <w:r>
        <w:t xml:space="preserve"> </w:t>
      </w:r>
      <w:r>
        <w:t xml:space="preserve">— для сборки DOCX-файлов по ГОСТ 7.32-2017.</w:t>
      </w:r>
    </w:p>
    <w:p>
      <w:pPr>
        <w:pStyle w:val="BodyText"/>
      </w:pPr>
      <w:r>
        <w:t xml:space="preserve">Цель тестирования — оценить применимость скиллов для академической документации и документирования проекта</w:t>
      </w:r>
      <w:r>
        <w:t xml:space="preserve"> </w:t>
      </w:r>
      <w:r>
        <w:rPr>
          <w:rStyle w:val="VerbatimChar"/>
        </w:rPr>
        <w:t xml:space="preserve">gosxcli</w:t>
      </w:r>
      <w:r>
        <w:t xml:space="preserve"> </w:t>
      </w:r>
      <w:r>
        <w:t xml:space="preserve">(Typst GOST DOCX Converter) — инструмента для конвертации Typst-документов в DOCX с поддержкой стилизации по ГОСТ.</w:t>
      </w:r>
    </w:p>
    <w:bookmarkEnd w:id="21"/>
    <w:bookmarkStart w:id="27" w:name="описание-проекта-gosxcli"/>
    <w:p>
      <w:pPr>
        <w:pStyle w:val="Heading1"/>
      </w:pPr>
      <w:r>
        <w:t xml:space="preserve">2 Описание проекта gosxcli</w:t>
      </w:r>
    </w:p>
    <w:bookmarkStart w:id="23" w:name="назначение"/>
    <w:p>
      <w:pPr>
        <w:pStyle w:val="Heading2"/>
      </w:pPr>
      <w:r>
        <w:t xml:space="preserve">2.1 Назначение</w:t>
      </w:r>
    </w:p>
    <w:p>
      <w:pPr>
        <w:pStyle w:val="FirstParagraph"/>
      </w:pPr>
      <w:r>
        <w:rPr>
          <w:b/>
          <w:bCs/>
        </w:rPr>
        <w:t xml:space="preserve">gosxcli</w:t>
      </w:r>
      <w:r>
        <w:t xml:space="preserve"> </w:t>
      </w:r>
      <w:r>
        <w:t xml:space="preserve">(Typst GOST DOCX Converter) — CLI-инструмент для конвертации Typst-документов в формат DOCX с полной поддержкой стилизации по ГОСТ 7.32-2017 (научно-технический отчёт). Проект предназначен для академических документов, диссертаций и научных работ</w:t>
      </w:r>
      <w:r>
        <w:t xml:space="preserve"> </w:t>
      </w:r>
      <w:hyperlink r:id="rId22"/>
      <w:r>
        <w:t xml:space="preserve">.</w:t>
      </w:r>
    </w:p>
    <w:bookmarkEnd w:id="23"/>
    <w:bookmarkStart w:id="24" w:name="технологический-стек"/>
    <w:p>
      <w:pPr>
        <w:pStyle w:val="Heading2"/>
      </w:pPr>
      <w:r>
        <w:t xml:space="preserve">2.2 Технологический стек</w:t>
      </w:r>
    </w:p>
    <w:p>
      <w:pPr>
        <w:pStyle w:val="FirstParagraph"/>
      </w:pPr>
      <w:r>
        <w:t xml:space="preserve">Проект построен на Python 3.12+ с использованием следующих ключевых библиотек: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Typer</w:t>
      </w:r>
      <w:r>
        <w:t xml:space="preserve"> </w:t>
      </w:r>
      <w:r>
        <w:t xml:space="preserve">— CLI-интерфейс;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Pydantic v2</w:t>
      </w:r>
      <w:r>
        <w:t xml:space="preserve"> </w:t>
      </w:r>
      <w:r>
        <w:t xml:space="preserve">— валидация данных и конфигурации;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python-docx</w:t>
      </w:r>
      <w:r>
        <w:t xml:space="preserve"> </w:t>
      </w:r>
      <w:r>
        <w:t xml:space="preserve">— генерация DOCX;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lxml</w:t>
      </w:r>
      <w:r>
        <w:t xml:space="preserve"> </w:t>
      </w:r>
      <w:r>
        <w:t xml:space="preserve">— XML/HTML-парсинг;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Rich</w:t>
      </w:r>
      <w:r>
        <w:t xml:space="preserve"> </w:t>
      </w:r>
      <w:r>
        <w:t xml:space="preserve">— форматированный вывод в CLI.</w:t>
      </w:r>
    </w:p>
    <w:bookmarkEnd w:id="24"/>
    <w:bookmarkStart w:id="26" w:name="текущий-статус"/>
    <w:p>
      <w:pPr>
        <w:pStyle w:val="Heading2"/>
      </w:pPr>
      <w:r>
        <w:t xml:space="preserve">2.3 Текущий статус</w:t>
      </w:r>
    </w:p>
    <w:p>
      <w:pPr>
        <w:pStyle w:val="FirstParagraph"/>
      </w:pPr>
      <w:r>
        <w:t xml:space="preserve">Статус проекта: MVP v0.3.1</w:t>
      </w:r>
      <w:r>
        <w:t xml:space="preserve"> </w:t>
      </w:r>
      <w:hyperlink r:id="rId25"/>
      <w:r>
        <w:t xml:space="preserve">. Реализована базовая поддержка заголовков, параграфов, списков, рисунков, таблиц, формул, меток и ссылок.</w:t>
      </w:r>
    </w:p>
    <w:bookmarkEnd w:id="26"/>
    <w:bookmarkEnd w:id="27"/>
    <w:bookmarkStart w:id="33" w:name="архитектура-системы"/>
    <w:p>
      <w:pPr>
        <w:pStyle w:val="Heading1"/>
      </w:pPr>
      <w:r>
        <w:t xml:space="preserve">3 Архитектура системы</w:t>
      </w:r>
    </w:p>
    <w:p>
      <w:pPr>
        <w:pStyle w:val="FirstParagraph"/>
      </w:pPr>
      <w:r>
        <w:t xml:space="preserve">Проект использует 4-слойную архитектуру конвейера обработки документов</w:t>
      </w:r>
      <w:r>
        <w:t xml:space="preserve"> </w:t>
      </w:r>
      <w:hyperlink r:id="rId28"/>
      <w:r>
        <w:t xml:space="preserve">.</w:t>
      </w:r>
    </w:p>
    <w:bookmarkStart w:id="29" w:name="X9188a5d3612843d5d57f92c502209fd2b55cf5a"/>
    <w:p>
      <w:pPr>
        <w:pStyle w:val="Heading2"/>
      </w:pPr>
      <w:r>
        <w:t xml:space="preserve">Рисунок 1 — Архитектура gosxcli (компонентная диаграмма)</w:t>
      </w:r>
    </w:p>
    <w:p>
      <w:pPr>
        <w:pStyle w:val="FirstParagraph"/>
      </w:pPr>
      <w:r>
        <w:t xml:space="preserve">{#figure:assets/gosxcli_pipeline.png:Архитектура четырёхслойного конвейера gosxcli}</w:t>
      </w:r>
    </w:p>
    <w:p>
      <w:pPr>
        <w:pStyle w:val="BodyText"/>
      </w:pPr>
      <w:r>
        <w:t xml:space="preserve">На рисунке 1 представлена компонентная диаграмма архитектуры системы. Конвейер состоит из следующих слоёв: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 (Typer)</w:t>
      </w:r>
      <w:r>
        <w:t xml:space="preserve"> </w:t>
      </w:r>
      <w:r>
        <w:t xml:space="preserve">— интерфейс командной строки, принимает команды пользователя;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Ingest (project loader)</w:t>
      </w:r>
      <w:r>
        <w:t xml:space="preserve"> </w:t>
      </w:r>
      <w:r>
        <w:t xml:space="preserve">— загрузка Typst-проектов из файловой системы;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Parser (scanner + extractor)</w:t>
      </w:r>
      <w:r>
        <w:t xml:space="preserve"> </w:t>
      </w:r>
      <w:r>
        <w:t xml:space="preserve">— извлечение структуры документа в промежуточное представление;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IR (Pydantic models)</w:t>
      </w:r>
      <w:r>
        <w:t xml:space="preserve"> </w:t>
      </w:r>
      <w:r>
        <w:t xml:space="preserve">— типизированные модели данных промежуточного представления;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Writer (docx_writer)</w:t>
      </w:r>
      <w:r>
        <w:t xml:space="preserve"> </w:t>
      </w:r>
      <w:r>
        <w:t xml:space="preserve">— генерация финального DOCX из IR.</w:t>
      </w:r>
    </w:p>
    <w:p>
      <w:pPr>
        <w:pStyle w:val="FirstParagraph"/>
      </w:pPr>
      <w:r>
        <w:t xml:space="preserve">Вспомогательные модули:</w:t>
      </w:r>
      <w:r>
        <w:t xml:space="preserve"> </w:t>
      </w:r>
      <w:r>
        <w:rPr>
          <w:rStyle w:val="VerbatimChar"/>
        </w:rPr>
        <w:t xml:space="preserve">styles.py</w:t>
      </w:r>
      <w:r>
        <w:t xml:space="preserve"> </w:t>
      </w:r>
      <w:r>
        <w:t xml:space="preserve">(стилизация по ГОСТ),</w:t>
      </w:r>
      <w:r>
        <w:t xml:space="preserve"> </w:t>
      </w:r>
      <w:r>
        <w:rPr>
          <w:rStyle w:val="VerbatimChar"/>
        </w:rPr>
        <w:t xml:space="preserve">tables.py</w:t>
      </w:r>
      <w:r>
        <w:t xml:space="preserve"> </w:t>
      </w:r>
      <w:r>
        <w:t xml:space="preserve">(генерация таблиц),</w:t>
      </w:r>
      <w:r>
        <w:t xml:space="preserve"> </w:t>
      </w:r>
      <w:r>
        <w:rPr>
          <w:rStyle w:val="VerbatimChar"/>
        </w:rPr>
        <w:t xml:space="preserve">images.py</w:t>
      </w:r>
      <w:r>
        <w:t xml:space="preserve"> </w:t>
      </w:r>
      <w:r>
        <w:t xml:space="preserve">(обработка изображений),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(конфигурация через Pydantic).</w:t>
      </w:r>
    </w:p>
    <w:bookmarkEnd w:id="29"/>
    <w:bookmarkStart w:id="30" w:name="модуль-ingest"/>
    <w:p>
      <w:pPr>
        <w:pStyle w:val="Heading2"/>
      </w:pPr>
      <w:r>
        <w:t xml:space="preserve">3.1 Модуль Ingest</w:t>
      </w:r>
    </w:p>
    <w:p>
      <w:pPr>
        <w:pStyle w:val="FirstParagraph"/>
      </w:pPr>
      <w:r>
        <w:t xml:space="preserve">Модуль</w:t>
      </w:r>
      <w:r>
        <w:t xml:space="preserve"> </w:t>
      </w:r>
      <w:r>
        <w:rPr>
          <w:rStyle w:val="VerbatimChar"/>
        </w:rPr>
        <w:t xml:space="preserve">ingest/</w:t>
      </w:r>
      <w:r>
        <w:t xml:space="preserve"> </w:t>
      </w:r>
      <w:r>
        <w:t xml:space="preserve">отвечает за загрузку Typst-проектов. Содержит: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typst_client.py</w:t>
      </w:r>
      <w:r>
        <w:t xml:space="preserve"> </w:t>
      </w:r>
      <w:r>
        <w:t xml:space="preserve">— клиент для взаимодействия с Typst-компилятором;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project_loader.py</w:t>
      </w:r>
      <w:r>
        <w:t xml:space="preserve"> </w:t>
      </w:r>
      <w:r>
        <w:t xml:space="preserve">— загрузчик проектов с файловой системы.</w:t>
      </w:r>
    </w:p>
    <w:bookmarkEnd w:id="30"/>
    <w:bookmarkStart w:id="31" w:name="модуль-parser"/>
    <w:p>
      <w:pPr>
        <w:pStyle w:val="Heading2"/>
      </w:pPr>
      <w:r>
        <w:t xml:space="preserve">3.2 Модуль Parser</w:t>
      </w:r>
    </w:p>
    <w:p>
      <w:pPr>
        <w:pStyle w:val="FirstParagraph"/>
      </w:pPr>
      <w:r>
        <w:t xml:space="preserve">Модуль</w:t>
      </w:r>
      <w:r>
        <w:t xml:space="preserve"> </w:t>
      </w:r>
      <w:r>
        <w:rPr>
          <w:rStyle w:val="VerbatimChar"/>
        </w:rPr>
        <w:t xml:space="preserve">parser/</w:t>
      </w:r>
      <w:r>
        <w:t xml:space="preserve"> </w:t>
      </w:r>
      <w:r>
        <w:t xml:space="preserve">преобразует Typst-исходники в IR-узлы. Содержит: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scanner.py</w:t>
      </w:r>
      <w:r>
        <w:t xml:space="preserve"> </w:t>
      </w:r>
      <w:r>
        <w:t xml:space="preserve">— токенизация Typst-синтаксиса;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extractor.py</w:t>
      </w:r>
      <w:r>
        <w:t xml:space="preserve"> </w:t>
      </w:r>
      <w:r>
        <w:t xml:space="preserve">— извлечение структурных элементов;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labels.py</w:t>
      </w:r>
      <w:r>
        <w:t xml:space="preserve"> </w:t>
      </w:r>
      <w:r>
        <w:t xml:space="preserve">— работа с метками;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refs.py</w:t>
      </w:r>
      <w:r>
        <w:t xml:space="preserve"> </w:t>
      </w:r>
      <w:r>
        <w:t xml:space="preserve">— разрешение перекрёстных ссылок;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typst_json_converter.py</w:t>
      </w:r>
      <w:r>
        <w:t xml:space="preserve"> </w:t>
      </w:r>
      <w:r>
        <w:t xml:space="preserve">— конвертация JSON-модели Typst.</w:t>
      </w:r>
    </w:p>
    <w:bookmarkEnd w:id="31"/>
    <w:bookmarkStart w:id="32" w:name="модуль-writer"/>
    <w:p>
      <w:pPr>
        <w:pStyle w:val="Heading2"/>
      </w:pPr>
      <w:r>
        <w:t xml:space="preserve">3.3 Модуль Writer</w:t>
      </w:r>
    </w:p>
    <w:p>
      <w:pPr>
        <w:pStyle w:val="FirstParagraph"/>
      </w:pPr>
      <w:r>
        <w:t xml:space="preserve">Модуль</w:t>
      </w:r>
      <w:r>
        <w:t xml:space="preserve"> </w:t>
      </w:r>
      <w:r>
        <w:rPr>
          <w:rStyle w:val="VerbatimChar"/>
        </w:rPr>
        <w:t xml:space="preserve">writers/</w:t>
      </w:r>
      <w:r>
        <w:t xml:space="preserve"> </w:t>
      </w:r>
      <w:r>
        <w:t xml:space="preserve">отвечает за генерацию DOCX. Содержит: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docx_writer.py</w:t>
      </w:r>
      <w:r>
        <w:t xml:space="preserve"> </w:t>
      </w:r>
      <w:r>
        <w:t xml:space="preserve">— основной writer;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styles.py</w:t>
      </w:r>
      <w:r>
        <w:t xml:space="preserve"> </w:t>
      </w:r>
      <w:r>
        <w:t xml:space="preserve">— применение стилей ГОСТ (Times New Roman 14pt);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tables.py</w:t>
      </w:r>
      <w:r>
        <w:t xml:space="preserve"> </w:t>
      </w:r>
      <w:r>
        <w:t xml:space="preserve">— генерация таблиц с поддержкой colspan/rowspan;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images.py</w:t>
      </w:r>
      <w:r>
        <w:t xml:space="preserve"> </w:t>
      </w:r>
      <w:r>
        <w:t xml:space="preserve">— вставка изображений с подписями;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bookmarks.py</w:t>
      </w:r>
      <w:r>
        <w:t xml:space="preserve"> </w:t>
      </w:r>
      <w:r>
        <w:t xml:space="preserve">— закладки;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code_highlighter.py</w:t>
      </w:r>
      <w:r>
        <w:t xml:space="preserve"> </w:t>
      </w:r>
      <w:r>
        <w:t xml:space="preserve">— подсветка кода;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mml2omml.py</w:t>
      </w:r>
      <w:r>
        <w:t xml:space="preserve"> </w:t>
      </w:r>
      <w:r>
        <w:t xml:space="preserve">— конвертация MathML в OMML.</w:t>
      </w:r>
    </w:p>
    <w:bookmarkEnd w:id="32"/>
    <w:bookmarkEnd w:id="33"/>
    <w:bookmarkStart w:id="37" w:name="конвейер-конвертации"/>
    <w:p>
      <w:pPr>
        <w:pStyle w:val="Heading1"/>
      </w:pPr>
      <w:r>
        <w:t xml:space="preserve">4 Конвейер конвертации</w:t>
      </w:r>
    </w:p>
    <w:bookmarkStart w:id="35" w:name="основной-workflow"/>
    <w:p>
      <w:pPr>
        <w:pStyle w:val="Heading2"/>
      </w:pPr>
      <w:r>
        <w:t xml:space="preserve">4.1 Основной workflow</w:t>
      </w:r>
    </w:p>
    <w:p>
      <w:pPr>
        <w:pStyle w:val="FirstParagraph"/>
      </w:pPr>
      <w:r>
        <w:t xml:space="preserve">Процесс конвертации Typst → DOCX включает следующие фазы</w:t>
      </w:r>
      <w:r>
        <w:t xml:space="preserve"> </w:t>
      </w:r>
      <w:hyperlink r:id="rId34"/>
      <w:r>
        <w:t xml:space="preserve">:</w:t>
      </w:r>
    </w:p>
    <w:p>
      <w:pPr>
        <w:pStyle w:val="BodyText"/>
      </w:pPr>
      <w:r>
        <w:t xml:space="preserve">#figure:assets/gosxcli_flowchart.png:Конвейер конвертации Typst в DOCX</w:t>
      </w:r>
    </w:p>
    <w:p>
      <w:pPr>
        <w:pStyle w:val="BodyText"/>
      </w:pPr>
      <w:r>
        <w:t xml:space="preserve">Конвейер состоит из фаз загрузки, парсинга, валидации IR, маршрутизации по типу узла и финальной записи.</w:t>
      </w:r>
    </w:p>
    <w:bookmarkEnd w:id="35"/>
    <w:bookmarkStart w:id="36" w:name="последовательность-вызовов"/>
    <w:p>
      <w:pPr>
        <w:pStyle w:val="Heading2"/>
      </w:pPr>
      <w:r>
        <w:t xml:space="preserve">4.2 Последовательность вызовов</w:t>
      </w:r>
    </w:p>
    <w:p>
      <w:pPr>
        <w:pStyle w:val="FirstParagraph"/>
      </w:pPr>
      <w:r>
        <w:t xml:space="preserve">На рисунке 3 представлена диаграмма последовательностей основного процесса конвертации.</w:t>
      </w:r>
    </w:p>
    <w:p>
      <w:pPr>
        <w:pStyle w:val="BodyText"/>
      </w:pPr>
      <w:r>
        <w:t xml:space="preserve">#figure:assets/gosxcli_sequence.png:Диаграмма последовательностей процесса конвертации</w:t>
      </w:r>
    </w:p>
    <w:p>
      <w:pPr>
        <w:pStyle w:val="BodyText"/>
      </w:pPr>
      <w:r>
        <w:t xml:space="preserve">Типичный сценарий:</w:t>
      </w:r>
    </w:p>
    <w:p>
      <w:pPr>
        <w:pStyle w:val="Compact"/>
        <w:numPr>
          <w:ilvl w:val="0"/>
          <w:numId w:val="1006"/>
        </w:numPr>
      </w:pPr>
      <w:r>
        <w:t xml:space="preserve">CLI вызывает</w:t>
      </w:r>
      <w:r>
        <w:t xml:space="preserve"> </w:t>
      </w:r>
      <w:r>
        <w:rPr>
          <w:rStyle w:val="VerbatimChar"/>
        </w:rPr>
        <w:t xml:space="preserve">load_config()</w:t>
      </w:r>
      <w:r>
        <w:t xml:space="preserve"> </w:t>
      </w:r>
      <w:r>
        <w:t xml:space="preserve">— загрузка конфигурации;</w:t>
      </w:r>
    </w:p>
    <w:p>
      <w:pPr>
        <w:pStyle w:val="Compact"/>
        <w:numPr>
          <w:ilvl w:val="0"/>
          <w:numId w:val="1006"/>
        </w:numPr>
      </w:pPr>
      <w:r>
        <w:t xml:space="preserve">CLI вызывает</w:t>
      </w:r>
      <w:r>
        <w:t xml:space="preserve"> </w:t>
      </w:r>
      <w:r>
        <w:rPr>
          <w:rStyle w:val="VerbatimChar"/>
        </w:rPr>
        <w:t xml:space="preserve">load_project()</w:t>
      </w:r>
      <w:r>
        <w:t xml:space="preserve"> </w:t>
      </w:r>
      <w:r>
        <w:t xml:space="preserve">— загрузка Typst-проекта;</w:t>
      </w:r>
    </w:p>
    <w:p>
      <w:pPr>
        <w:pStyle w:val="Compact"/>
        <w:numPr>
          <w:ilvl w:val="0"/>
          <w:numId w:val="1006"/>
        </w:numPr>
      </w:pPr>
      <w:r>
        <w:t xml:space="preserve">Вызывается</w:t>
      </w:r>
      <w:r>
        <w:t xml:space="preserve"> </w:t>
      </w:r>
      <w:r>
        <w:rPr>
          <w:rStyle w:val="VerbatimChar"/>
        </w:rPr>
        <w:t xml:space="preserve">typst.compile()</w:t>
      </w:r>
      <w:r>
        <w:t xml:space="preserve"> </w:t>
      </w:r>
      <w:r>
        <w:t xml:space="preserve">— компиляция Typst;</w:t>
      </w:r>
    </w:p>
    <w:p>
      <w:pPr>
        <w:pStyle w:val="Compact"/>
        <w:numPr>
          <w:ilvl w:val="0"/>
          <w:numId w:val="1006"/>
        </w:numPr>
      </w:pPr>
      <w:r>
        <w:t xml:space="preserve">Parser генерирует IR-узлы (Paragraph, Heading, Figure и др.);</w:t>
      </w:r>
    </w:p>
    <w:p>
      <w:pPr>
        <w:pStyle w:val="Compact"/>
        <w:numPr>
          <w:ilvl w:val="0"/>
          <w:numId w:val="1006"/>
        </w:numPr>
      </w:pPr>
      <w:r>
        <w:t xml:space="preserve">DocxWriter получает список IR-узлов;</w:t>
      </w:r>
    </w:p>
    <w:p>
      <w:pPr>
        <w:pStyle w:val="Compact"/>
        <w:numPr>
          <w:ilvl w:val="0"/>
          <w:numId w:val="1006"/>
        </w:numPr>
      </w:pPr>
      <w:r>
        <w:t xml:space="preserve">Для каждого узла применяется стиль через</w:t>
      </w:r>
      <w:r>
        <w:t xml:space="preserve"> </w:t>
      </w:r>
      <w:r>
        <w:rPr>
          <w:rStyle w:val="VerbatimChar"/>
        </w:rPr>
        <w:t xml:space="preserve">apply_style()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Результат — файл</w:t>
      </w:r>
      <w:r>
        <w:t xml:space="preserve"> </w:t>
      </w:r>
      <w:r>
        <w:rPr>
          <w:rStyle w:val="VerbatimChar"/>
        </w:rPr>
        <w:t xml:space="preserve">thesis_final.docx</w:t>
      </w:r>
      <w:r>
        <w:t xml:space="preserve">.</w:t>
      </w:r>
    </w:p>
    <w:bookmarkEnd w:id="36"/>
    <w:bookmarkEnd w:id="37"/>
    <w:bookmarkStart w:id="44" w:name="структура-данных"/>
    <w:p>
      <w:pPr>
        <w:pStyle w:val="Heading1"/>
      </w:pPr>
      <w:r>
        <w:t xml:space="preserve">5 Структура данных</w:t>
      </w:r>
    </w:p>
    <w:bookmarkStart w:id="39" w:name="промежуточное-представление-ir"/>
    <w:p>
      <w:pPr>
        <w:pStyle w:val="Heading2"/>
      </w:pPr>
      <w:r>
        <w:t xml:space="preserve">5.1 Промежуточное представление (IR)</w:t>
      </w:r>
    </w:p>
    <w:p>
      <w:pPr>
        <w:pStyle w:val="FirstParagraph"/>
      </w:pPr>
      <w:r>
        <w:t xml:space="preserve">Промежуточное представление (IR) основано на Pydantic v2 моделях</w:t>
      </w:r>
      <w:r>
        <w:t xml:space="preserve"> </w:t>
      </w:r>
      <w:hyperlink r:id="rId38"/>
      <w:r>
        <w:t xml:space="preserve">. Структура данных представлена на рисунке 4.</w:t>
      </w:r>
    </w:p>
    <w:p>
      <w:pPr>
        <w:pStyle w:val="BodyText"/>
      </w:pPr>
      <w:r>
        <w:t xml:space="preserve">#figure:assets/gosxcli_er.png:ER-диаграмма промежуточного представления gosxcli</w:t>
      </w:r>
    </w:p>
    <w:p>
      <w:pPr>
        <w:pStyle w:val="BodyText"/>
      </w:pPr>
      <w:r>
        <w:t xml:space="preserve">Корневой элемент —</w:t>
      </w:r>
      <w:r>
        <w:t xml:space="preserve"> </w:t>
      </w:r>
      <w:r>
        <w:rPr>
          <w:rStyle w:val="VerbatimChar"/>
        </w:rPr>
        <w:t xml:space="preserve">IRDocument</w:t>
      </w:r>
      <w:r>
        <w:t xml:space="preserve">. К нему привязаны:</w:t>
      </w:r>
      <w:r>
        <w:t xml:space="preserve"> </w:t>
      </w:r>
      <w:r>
        <w:rPr>
          <w:rStyle w:val="VerbatimChar"/>
        </w:rPr>
        <w:t xml:space="preserve">IRHeading</w:t>
      </w:r>
      <w:r>
        <w:t xml:space="preserve"> </w:t>
      </w:r>
      <w:r>
        <w:t xml:space="preserve">(заголовки),</w:t>
      </w:r>
      <w:r>
        <w:t xml:space="preserve"> </w:t>
      </w:r>
      <w:r>
        <w:rPr>
          <w:rStyle w:val="VerbatimChar"/>
        </w:rPr>
        <w:t xml:space="preserve">IRParagraph</w:t>
      </w:r>
      <w:r>
        <w:t xml:space="preserve"> </w:t>
      </w:r>
      <w:r>
        <w:t xml:space="preserve">(параграфы),</w:t>
      </w:r>
      <w:r>
        <w:t xml:space="preserve"> </w:t>
      </w:r>
      <w:r>
        <w:rPr>
          <w:rStyle w:val="VerbatimChar"/>
        </w:rPr>
        <w:t xml:space="preserve">IRFigure</w:t>
      </w:r>
      <w:r>
        <w:t xml:space="preserve"> </w:t>
      </w:r>
      <w:r>
        <w:t xml:space="preserve">(рисунки),</w:t>
      </w:r>
      <w:r>
        <w:t xml:space="preserve"> </w:t>
      </w:r>
      <w:r>
        <w:rPr>
          <w:rStyle w:val="VerbatimChar"/>
        </w:rPr>
        <w:t xml:space="preserve">IRTable</w:t>
      </w:r>
      <w:r>
        <w:t xml:space="preserve"> </w:t>
      </w:r>
      <w:r>
        <w:t xml:space="preserve">(таблицы),</w:t>
      </w:r>
      <w:r>
        <w:t xml:space="preserve"> </w:t>
      </w:r>
      <w:r>
        <w:rPr>
          <w:rStyle w:val="VerbatimChar"/>
        </w:rPr>
        <w:t xml:space="preserve">IRMath</w:t>
      </w:r>
      <w:r>
        <w:t xml:space="preserve"> </w:t>
      </w:r>
      <w:r>
        <w:t xml:space="preserve">(формулы).</w:t>
      </w:r>
    </w:p>
    <w:p>
      <w:pPr>
        <w:pStyle w:val="BodyText"/>
      </w:pPr>
      <w:r>
        <w:rPr>
          <w:rStyle w:val="VerbatimChar"/>
        </w:rPr>
        <w:t xml:space="preserve">IRTable</w:t>
      </w:r>
      <w:r>
        <w:t xml:space="preserve"> </w:t>
      </w:r>
      <w:r>
        <w:t xml:space="preserve">содержит</w:t>
      </w:r>
      <w:r>
        <w:t xml:space="preserve"> </w:t>
      </w:r>
      <w:r>
        <w:rPr>
          <w:rStyle w:val="VerbatimChar"/>
        </w:rPr>
        <w:t xml:space="preserve">IRTableCell</w:t>
      </w:r>
      <w:r>
        <w:t xml:space="preserve"> </w:t>
      </w:r>
      <w:r>
        <w:t xml:space="preserve">(ячейки).</w:t>
      </w:r>
      <w:r>
        <w:t xml:space="preserve"> </w:t>
      </w:r>
      <w:r>
        <w:rPr>
          <w:rStyle w:val="VerbatimChar"/>
        </w:rPr>
        <w:t xml:space="preserve">IRParagraph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IRFigure</w:t>
      </w:r>
      <w:r>
        <w:t xml:space="preserve"> </w:t>
      </w:r>
      <w:r>
        <w:t xml:space="preserve">могут содержать</w:t>
      </w:r>
      <w:r>
        <w:t xml:space="preserve"> </w:t>
      </w:r>
      <w:r>
        <w:rPr>
          <w:rStyle w:val="VerbatimChar"/>
        </w:rPr>
        <w:t xml:space="preserve">IRLabel</w:t>
      </w:r>
      <w:r>
        <w:t xml:space="preserve"> </w:t>
      </w:r>
      <w:r>
        <w:t xml:space="preserve">(метки).</w:t>
      </w:r>
      <w:r>
        <w:t xml:space="preserve"> </w:t>
      </w:r>
      <w:r>
        <w:rPr>
          <w:rStyle w:val="VerbatimChar"/>
        </w:rPr>
        <w:t xml:space="preserve">IRFigure</w:t>
      </w:r>
      <w:r>
        <w:t xml:space="preserve"> </w:t>
      </w:r>
      <w:r>
        <w:t xml:space="preserve">связан с</w:t>
      </w:r>
      <w:r>
        <w:t xml:space="preserve"> </w:t>
      </w:r>
      <w:r>
        <w:rPr>
          <w:rStyle w:val="VerbatimChar"/>
        </w:rPr>
        <w:t xml:space="preserve">IRImage</w:t>
      </w:r>
      <w:r>
        <w:t xml:space="preserve"> </w:t>
      </w:r>
      <w:r>
        <w:t xml:space="preserve">(данные изображения).</w:t>
      </w:r>
      <w:r>
        <w:t xml:space="preserve"> </w:t>
      </w:r>
      <w:r>
        <w:rPr>
          <w:rStyle w:val="VerbatimChar"/>
        </w:rPr>
        <w:t xml:space="preserve">IRParagraph</w:t>
      </w:r>
      <w:r>
        <w:t xml:space="preserve"> </w:t>
      </w:r>
      <w:r>
        <w:t xml:space="preserve">может содержать</w:t>
      </w:r>
      <w:r>
        <w:t xml:space="preserve"> </w:t>
      </w:r>
      <w:r>
        <w:rPr>
          <w:rStyle w:val="VerbatimChar"/>
        </w:rPr>
        <w:t xml:space="preserve">IRRef</w:t>
      </w:r>
      <w:r>
        <w:t xml:space="preserve"> </w:t>
      </w:r>
      <w:r>
        <w:t xml:space="preserve">(перекрёстные ссылки).</w:t>
      </w:r>
    </w:p>
    <w:bookmarkEnd w:id="39"/>
    <w:bookmarkStart w:id="40" w:name="irdocument"/>
    <w:p>
      <w:pPr>
        <w:pStyle w:val="Heading2"/>
      </w:pPr>
      <w:r>
        <w:t xml:space="preserve">5.2 IRDocument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IRDocument(BaseModel):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UUID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elements: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[IRNode]  </w:t>
      </w:r>
      <w:r>
        <w:rPr>
          <w:rStyle w:val="CommentTok"/>
        </w:rPr>
        <w:t xml:space="preserve"># Heading, Paragraph, Figure, Table, Math</w:t>
      </w:r>
    </w:p>
    <w:bookmarkEnd w:id="40"/>
    <w:bookmarkStart w:id="41" w:name="irheading"/>
    <w:p>
      <w:pPr>
        <w:pStyle w:val="Heading2"/>
      </w:pPr>
      <w:r>
        <w:t xml:space="preserve">5.3 IRHeading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IRHeading(BaseModel):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уникальный идентификатор (@sec:intro)</w:t>
      </w:r>
      <w:r>
        <w:br/>
      </w:r>
      <w:r>
        <w:rPr>
          <w:rStyle w:val="NormalTok"/>
        </w:rPr>
        <w:t xml:space="preserve">    level: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1, 2, 3</w:t>
      </w:r>
      <w:r>
        <w:br/>
      </w:r>
      <w:r>
        <w:rPr>
          <w:rStyle w:val="NormalTok"/>
        </w:rPr>
        <w:t xml:space="preserve">   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текст заголовка</w:t>
      </w:r>
    </w:p>
    <w:bookmarkEnd w:id="41"/>
    <w:bookmarkStart w:id="42" w:name="irfigure"/>
    <w:p>
      <w:pPr>
        <w:pStyle w:val="Heading2"/>
      </w:pPr>
      <w:r>
        <w:t xml:space="preserve">5.4 IRFigure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IRFigure(BaseModel):</w:t>
      </w:r>
      <w:r>
        <w:br/>
      </w:r>
      <w:r>
        <w:rPr>
          <w:rStyle w:val="NormalTok"/>
        </w:rPr>
        <w:t xml:space="preserve">    path: Path        </w:t>
      </w:r>
      <w:r>
        <w:rPr>
          <w:rStyle w:val="CommentTok"/>
        </w:rPr>
        <w:t xml:space="preserve"># путь к файлу изображения</w:t>
      </w:r>
      <w:r>
        <w:br/>
      </w:r>
      <w:r>
        <w:rPr>
          <w:rStyle w:val="NormalTok"/>
        </w:rPr>
        <w:t xml:space="preserve">    caption: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подпись к рисунку</w:t>
      </w:r>
      <w:r>
        <w:br/>
      </w:r>
      <w:r>
        <w:rPr>
          <w:rStyle w:val="NormalTok"/>
        </w:rPr>
        <w:t xml:space="preserve">    label: IRLabel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image: IRImage</w:t>
      </w:r>
    </w:p>
    <w:bookmarkEnd w:id="42"/>
    <w:bookmarkStart w:id="43" w:name="irtable"/>
    <w:p>
      <w:pPr>
        <w:pStyle w:val="Heading2"/>
      </w:pPr>
      <w:r>
        <w:t xml:space="preserve">5.5 IRTable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IRTable(BaseModel):</w:t>
      </w:r>
      <w:r>
        <w:br/>
      </w:r>
      <w:r>
        <w:rPr>
          <w:rStyle w:val="NormalTok"/>
        </w:rPr>
        <w:t xml:space="preserve">    grid: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  </w:t>
      </w:r>
      <w:r>
        <w:rPr>
          <w:rStyle w:val="CommentTok"/>
        </w:rPr>
        <w:t xml:space="preserve"># двумерный массив ячеек</w:t>
      </w:r>
      <w:r>
        <w:br/>
      </w:r>
      <w:r>
        <w:rPr>
          <w:rStyle w:val="NormalTok"/>
        </w:rPr>
        <w:t xml:space="preserve">    headers: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есть ли заголовок</w:t>
      </w:r>
      <w:r>
        <w:br/>
      </w:r>
      <w:r>
        <w:rPr>
          <w:rStyle w:val="NormalTok"/>
        </w:rPr>
        <w:t xml:space="preserve">    cells: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[IRTableCell]</w:t>
      </w:r>
    </w:p>
    <w:bookmarkEnd w:id="43"/>
    <w:bookmarkEnd w:id="44"/>
    <w:bookmarkStart w:id="47" w:name="заключение"/>
    <w:p>
      <w:pPr>
        <w:pStyle w:val="Heading1"/>
      </w:pPr>
      <w:r>
        <w:t xml:space="preserve">6 Заключение</w:t>
      </w:r>
    </w:p>
    <w:p>
      <w:pPr>
        <w:pStyle w:val="FirstParagraph"/>
      </w:pPr>
      <w:r>
        <w:t xml:space="preserve">В результате тестирования скиллов</w:t>
      </w:r>
      <w:r>
        <w:t xml:space="preserve"> </w:t>
      </w:r>
      <w:r>
        <w:rPr>
          <w:rStyle w:val="VerbatimChar"/>
        </w:rPr>
        <w:t xml:space="preserve">drawio-from-spec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gost-docx-pipeline</w:t>
      </w:r>
      <w:r>
        <w:t xml:space="preserve"> </w:t>
      </w:r>
      <w:r>
        <w:t xml:space="preserve">установлено: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drawio-from-spec</w:t>
      </w:r>
      <w:r>
        <w:t xml:space="preserve"> </w:t>
      </w:r>
      <w:r>
        <w:t xml:space="preserve">позволяет декларативно описывать диаграммы в JSON и генерировать из них .drawio-файлы. Поддерживаются component, flowchart, sequence и ER-диаграммы. Корректно работает экспорт в PNG через drawio-desktop</w:t>
      </w:r>
      <w:r>
        <w:t xml:space="preserve"> </w:t>
      </w:r>
      <w:hyperlink r:id="rId45"/>
      <w:r>
        <w:t xml:space="preserve">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gost-docx-pipeline</w:t>
      </w:r>
      <w:r>
        <w:t xml:space="preserve"> </w:t>
      </w:r>
      <w:r>
        <w:t xml:space="preserve">обеспечивает полный конвейер Markdown → DOCX с нормализацией стилей, таблиц, формул и валидацией через OfficeCLI.</w:t>
      </w:r>
    </w:p>
    <w:p>
      <w:pPr>
        <w:numPr>
          <w:ilvl w:val="0"/>
          <w:numId w:val="1007"/>
        </w:numPr>
      </w:pPr>
      <w:r>
        <w:t xml:space="preserve">Совместное использование скиллов позволяет создавать академическую документацию с диаграммами, автоматически встраиваемыми в DOCX</w:t>
      </w:r>
      <w:r>
        <w:t xml:space="preserve"> </w:t>
      </w:r>
      <w:hyperlink r:id="rId46"/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51" w:name="список-использованных-источников"/>
    <w:p>
      <w:pPr>
        <w:pStyle w:val="Heading1"/>
      </w:pPr>
      <w:r>
        <w:t xml:space="preserve">СПИСОК ИСПОЛЬЗОВАННЫХ ИСТОЧНИКОВ</w:t>
      </w:r>
    </w:p>
    <w:p>
      <w:pPr>
        <w:pStyle w:val="FirstParagraph"/>
      </w:pPr>
      <w:r>
        <w:t xml:space="preserve">[1] gosxcli GitHub Repository.</w:t>
      </w:r>
      <w:r>
        <w:t xml:space="preserve"> </w:t>
      </w:r>
      <w:hyperlink r:id="rId48">
        <w:r>
          <w:rPr>
            <w:rStyle w:val="Hyperlink"/>
          </w:rPr>
          <w:t xml:space="preserve">https://github.com/nikolay-grudanov/gosxcli</w:t>
        </w:r>
      </w:hyperlink>
      <w:r>
        <w:t xml:space="preserve"> </w:t>
      </w:r>
      <w:r>
        <w:t xml:space="preserve">(дата обращения: 26.05.2026).</w:t>
      </w:r>
    </w:p>
    <w:p>
      <w:pPr>
        <w:pStyle w:val="BodyText"/>
      </w:pPr>
      <w:r>
        <w:t xml:space="preserve">[2] gosxcli Project Status and Architecture. Internal project documentation.</w:t>
      </w:r>
    </w:p>
    <w:p>
      <w:pPr>
        <w:pStyle w:val="BodyText"/>
      </w:pPr>
      <w:r>
        <w:t xml:space="preserve">[3] Clean Architecture Principles in Python Documentation.</w:t>
      </w:r>
    </w:p>
    <w:p>
      <w:pPr>
        <w:pStyle w:val="BodyText"/>
      </w:pPr>
      <w:r>
        <w:t xml:space="preserve">[4] Pipeline Design Pattern. Software Engineering Handbook.</w:t>
      </w:r>
    </w:p>
    <w:p>
      <w:pPr>
        <w:pStyle w:val="BodyText"/>
      </w:pPr>
      <w:r>
        <w:t xml:space="preserve">[5] Pydantic V2 Documentation.</w:t>
      </w:r>
      <w:r>
        <w:t xml:space="preserve"> </w:t>
      </w:r>
      <w:hyperlink r:id="rId49">
        <w:r>
          <w:rPr>
            <w:rStyle w:val="Hyperlink"/>
          </w:rPr>
          <w:t xml:space="preserve">https://docs.pydantic.dev/</w:t>
        </w:r>
      </w:hyperlink>
    </w:p>
    <w:p>
      <w:pPr>
        <w:pStyle w:val="BodyText"/>
      </w:pPr>
      <w:r>
        <w:t xml:space="preserve">[6] draw.io Diagram Tools.</w:t>
      </w:r>
      <w:r>
        <w:t xml:space="preserve"> </w:t>
      </w:r>
      <w:hyperlink r:id="rId50">
        <w:r>
          <w:rPr>
            <w:rStyle w:val="Hyperlink"/>
          </w:rPr>
          <w:t xml:space="preserve">https://www.diagrams.net/</w:t>
        </w:r>
      </w:hyperlink>
    </w:p>
    <w:p>
      <w:pPr>
        <w:pStyle w:val="BodyText"/>
      </w:pPr>
      <w:r>
        <w:t xml:space="preserve">[7] Academic Writing and Technical Documentation Standards.</w:t>
      </w:r>
    </w:p>
    <w:p>
      <w:r>
        <w:pict>
          <v:rect style="width:0;height:1.5pt" o:hralign="center" o:hrstd="t" o:hr="t"/>
        </w:pict>
      </w:r>
    </w:p>
    <w:bookmarkEnd w:id="51"/>
    <w:bookmarkStart w:id="52" w:name="списокрисунков"/>
    <w:p>
      <w:pPr>
        <w:pStyle w:val="Heading1"/>
      </w:pPr>
      <w:r>
        <w:t xml:space="preserve">СПИСОКРИСУНКОВ</w:t>
      </w:r>
    </w:p>
    <w:p>
      <w:pPr>
        <w:pStyle w:val="FirstParagraph"/>
      </w:pPr>
      <w:r>
        <w:t xml:space="preserve">Рисунок 1 — Архитектура gosxcli (компонентная диаграмма)</w:t>
      </w:r>
      <w:r>
        <w:t xml:space="preserve"> </w:t>
      </w:r>
      <w:r>
        <w:t xml:space="preserve">Рисунок 2 — Конвейер конвертации Typst в DOCX</w:t>
      </w:r>
      <w:r>
        <w:t xml:space="preserve"> </w:t>
      </w:r>
      <w:r>
        <w:t xml:space="preserve">Рисунок 3 — Диаграмма последовательностей процесса конвертации</w:t>
      </w:r>
      <w:r>
        <w:t xml:space="preserve"> </w:t>
      </w:r>
      <w:r>
        <w:t xml:space="preserve">Рисунок 4 — ER-диаграмма промежуточного представления gosxcli</w:t>
      </w:r>
    </w:p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6" Target="cite:%20academicwriting" TargetMode="External" /><Relationship Type="http://schemas.openxmlformats.org/officeDocument/2006/relationships/hyperlink" Id="rId28" Target="cite:%20cleanarch" TargetMode="External" /><Relationship Type="http://schemas.openxmlformats.org/officeDocument/2006/relationships/hyperlink" Id="rId45" Target="cite:%20drawiotools" TargetMode="External" /><Relationship Type="http://schemas.openxmlformats.org/officeDocument/2006/relationships/hyperlink" Id="rId22" Target="cite:%20gosxcligithub" TargetMode="External" /><Relationship Type="http://schemas.openxmlformats.org/officeDocument/2006/relationships/hyperlink" Id="rId25" Target="cite:%20gosxcliproject" TargetMode="External" /><Relationship Type="http://schemas.openxmlformats.org/officeDocument/2006/relationships/hyperlink" Id="rId34" Target="cite:%20pipelinepattern" TargetMode="External" /><Relationship Type="http://schemas.openxmlformats.org/officeDocument/2006/relationships/hyperlink" Id="rId38" Target="cite:%20pydanticbook" TargetMode="External" /><Relationship Type="http://schemas.openxmlformats.org/officeDocument/2006/relationships/hyperlink" Id="rId49" Target="https://docs.pydantic.dev/" TargetMode="External" /><Relationship Type="http://schemas.openxmlformats.org/officeDocument/2006/relationships/hyperlink" Id="rId48" Target="https://github.com/nikolay-grudanov/gosxcli" TargetMode="External" /><Relationship Type="http://schemas.openxmlformats.org/officeDocument/2006/relationships/hyperlink" Id="rId50" Target="https://www.diagrams.ne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cite:%20academicwriting" TargetMode="External" /><Relationship Type="http://schemas.openxmlformats.org/officeDocument/2006/relationships/hyperlink" Id="rId28" Target="cite:%20cleanarch" TargetMode="External" /><Relationship Type="http://schemas.openxmlformats.org/officeDocument/2006/relationships/hyperlink" Id="rId45" Target="cite:%20drawiotools" TargetMode="External" /><Relationship Type="http://schemas.openxmlformats.org/officeDocument/2006/relationships/hyperlink" Id="rId22" Target="cite:%20gosxcligithub" TargetMode="External" /><Relationship Type="http://schemas.openxmlformats.org/officeDocument/2006/relationships/hyperlink" Id="rId25" Target="cite:%20gosxcliproject" TargetMode="External" /><Relationship Type="http://schemas.openxmlformats.org/officeDocument/2006/relationships/hyperlink" Id="rId34" Target="cite:%20pipelinepattern" TargetMode="External" /><Relationship Type="http://schemas.openxmlformats.org/officeDocument/2006/relationships/hyperlink" Id="rId38" Target="cite:%20pydanticbook" TargetMode="External" /><Relationship Type="http://schemas.openxmlformats.org/officeDocument/2006/relationships/hyperlink" Id="rId49" Target="https://docs.pydantic.dev/" TargetMode="External" /><Relationship Type="http://schemas.openxmlformats.org/officeDocument/2006/relationships/hyperlink" Id="rId48" Target="https://github.com/nikolay-grudanov/gosxcli" TargetMode="External" /><Relationship Type="http://schemas.openxmlformats.org/officeDocument/2006/relationships/hyperlink" Id="rId50" Target="https://www.diagrams.ne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Тестирование конвейера gosxcli</dc:title>
  <dc:creator>Николай Груданов</dc:creator>
  <dc:language>ru-RU</dc:language>
  <cp:keywords/>
  <dcterms:created xsi:type="dcterms:W3CDTF">2026-05-26T19:30:54Z</dcterms:created>
  <dcterms:modified xsi:type="dcterms:W3CDTF">2026-05-26T19:30:54Z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org">
    <vt:lpwstr>Институт ядерных технологий</vt:lpwstr>
  </property>
  <property fmtid="{D5CDD505-2E9C-101B-9397-08002B2CF9AE}" pid="4" name="subtitle">
    <vt:lpwstr>Проверка скиллов drawio-from-spec и gost-docx-pipeline</vt:lpwstr>
  </property>
</Properties>
</file>