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Заголовок первого уровня</w:t>
      </w:r>
    </w:p>
    <w:p>
      <w:pPr/>
      <w:r>
        <w:t xml:space="preserve">Это обычный абзац текста со ссылкой </w:t>
      </w:r>
      <w:r>
        <w:t>fig-test</w:t>
      </w:r>
      <w:r>
        <w:t>.</w:t>
      </w:r>
    </w:p>
    <w:p>
      <w:pPr>
        <w:pStyle w:val="Heading2"/>
      </w:pPr>
      <w:r>
        <w:t>1.1 Заголовок второго уровня</w:t>
      </w:r>
    </w:p>
    <w:p>
      <w:pPr/>
      <w:r>
        <w:t>Текст после заголовка.</w:t>
      </w:r>
    </w:p>
    <w:p>
      <w:pPr>
        <w:pStyle w:val="ListBullet"/>
      </w:pPr>
      <w:r>
        <w:t>Элемент списка 1</w:t>
      </w:r>
    </w:p>
    <w:p>
      <w:pPr>
        <w:pStyle w:val="ListBullet"/>
      </w:pPr>
      <w:r>
        <w:t>Элемент списка 2</w:t>
      </w:r>
    </w:p>
    <w:p>
      <w:pPr>
        <w:pStyle w:val="Heading3"/>
      </w:pPr>
      <w:r>
        <w:t>1.1.1 Заголовок третьего уровня</w:t>
      </w:r>
    </w:p>
    <w:p>
      <w:pPr/>
      <w:r>
        <w:t>Текст третьего уровня.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Рис. 1.1 — Тестовый рисунок</w:t>
      </w:r>
    </w:p>
    <w:p>
      <w:pPr/>
      <w:r>
        <w:t>Математика: $E = mc^2$</w:t>
      </w:r>
    </w:p>
    <w:p>
      <w:pPr/>
      <w:r>
        <m:oMath>
          <m:r>
            <m:t>x</m:t>
          </m:r>
          <m:r>
            <m:t>=</m:t>
          </m:r>
          <m:r>
            <m:t>(</m:t>
          </m:r>
          <m:r>
            <m:t>−</m:t>
          </m:r>
          <m:r>
            <m:t>b</m:t>
          </m:r>
          <m:r>
            <m:t>+</m:t>
          </m:r>
          <m:r>
            <m:t>−</m:t>
          </m:r>
          <m:r>
            <m:t>s</m:t>
          </m:r>
          <m:r>
            <m:t>q</m:t>
          </m:r>
          <m:r>
            <m:t>r</m:t>
          </m:r>
          <m:r>
            <m:t>t</m:t>
          </m:r>
          <m:r>
            <m:t>(</m:t>
          </m:r>
          <m:sSup>
            <m:e/>
            <m:sup/>
          </m:sSup>
          <m:r>
            <m:t>−</m:t>
          </m:r>
          <m:r>
            <m:t>4</m:t>
          </m:r>
          <m:r>
            <m:t>a</m:t>
          </m:r>
          <m:r>
            <m:t>c</m:t>
          </m:r>
          <m:r>
            <m:t>)</m:t>
          </m:r>
          <m:r>
            <m:t>)</m:t>
          </m:r>
          <m:r>
            <m:t>/</m:t>
          </m:r>
          <m:r>
            <m:t>(</m:t>
          </m:r>
          <m:r>
            <m:t>2</m:t>
          </m:r>
          <m:r>
            <m:t>a</m:t>
          </m:r>
          <m:r>
            <m:t>)</m:t>
          </m:r>
        </m:oMath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/>
        <w:gridCol/>
      </w:tblGrid>
      <w:tr>
        <w:tc>
          <w:tcPr>
            <w:tcW w:type="dxa" w:w="4320"/>
          </w:tcPr>
          <w:p>
            <w:pPr>
              <w:jc w:val="center"/>
            </w:pPr>
            <w:r>
              <w:t>Заголовок 1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Заголовок 2</w:t>
            </w:r>
          </w:p>
        </w:tc>
      </w:tr>
      <w:tr>
        <w:tc>
          <w:tcPr>
            <w:tcW w:type="dxa" w:w="43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1</w:t>
            </w:r>
          </w:p>
        </w:tc>
        <w:tc>
          <w:tcPr>
            <w:tcW w:type="dxa" w:w="43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2</w:t>
            </w:r>
          </w:p>
        </w:tc>
      </w:tr>
      <w:tr>
        <w:tc>
          <w:tcPr>
            <w:tcW w:type="dxa" w:w="43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3</w:t>
            </w:r>
          </w:p>
        </w:tc>
        <w:tc>
          <w:tcPr>
            <w:tcW w:type="dxa" w:w="43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t>Ячейка 4</w:t>
            </w:r>
          </w:p>
        </w:tc>
      </w:tr>
    </w:tbl>
    <w:p>
      <w:pPr/>
      <w:r>
        <w:t xml:space="preserve">Ссылка на таблицу </w:t>
      </w:r>
      <w:r>
        <w:t>tbl:test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