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594132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594132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594132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594132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594132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594132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594132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594132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594132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10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1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1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2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2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3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3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2E74C8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0B29F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BF3077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</w:t>
      </w:r>
      <w:r w:rsidR="00E14891">
        <w:rPr>
          <w:rFonts w:eastAsiaTheme="minorHAnsi"/>
          <w:color w:val="008000"/>
          <w:highlight w:val="white"/>
          <w:lang w:eastAsia="en-US"/>
        </w:rPr>
        <w:t>create an arena for each thread</w:t>
      </w:r>
    </w:p>
    <w:p w:rsidR="007A5655" w:rsidRDefault="007B3763" w:rsidP="00AB5D02">
      <w:pPr>
        <w:ind w:firstLine="720"/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E14D08" w:rsidRPr="00E14D08" w:rsidRDefault="00E14D08" w:rsidP="00AB5D02">
      <w:pPr>
        <w:ind w:firstLine="720"/>
      </w:pP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arenas[tid]-&gt;free_all();</w:t>
      </w:r>
    </w:p>
    <w:p w:rsidR="007A5655" w:rsidRDefault="007A5655" w:rsidP="007A5655">
      <w:pPr>
        <w:pStyle w:val="Quote"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</w:t>
      </w:r>
      <w:r w:rsidR="00935FF3">
        <w:rPr>
          <w:lang w:val="bg-BG"/>
        </w:rPr>
        <w:lastRenderedPageBreak/>
        <w:t xml:space="preserve">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5" w:name="_Toc411773164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5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pos,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size,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SubSampler() {}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next_samples(</w:t>
      </w:r>
      <w:r>
        <w:rPr>
          <w:rFonts w:eastAsiaTheme="minorHAnsi"/>
          <w:highlight w:val="white"/>
          <w:lang w:eastAsia="en-US"/>
        </w:rPr>
        <w:t>Sample</w:t>
      </w:r>
      <w:r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ED6665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 xml:space="preserve">приема масива заделен предварително и го попълва с </w:t>
      </w:r>
      <w:r w:rsidR="00FF6DCF">
        <w:rPr>
          <w:lang w:val="bg-BG"/>
        </w:rPr>
        <w:lastRenderedPageBreak/>
        <w:t>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72375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6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Camera(glm::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create_camera_to_world(</w:t>
      </w:r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glm::sin(to_radians(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glm::sin(to_radians(yfov));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void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lastRenderedPageBreak/>
        <w:t>private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390807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763521" w:rsidRPr="00390807">
        <w:t xml:space="preserve"> </w:t>
      </w:r>
      <w:r w:rsidR="00994167" w:rsidRPr="00390807">
        <w:t>create_camera_to_world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140FC1">
      <w:pPr>
        <w:rPr>
          <w:lang w:val="bg-BG"/>
        </w:rPr>
      </w:pPr>
      <w:r>
        <w:rPr>
          <w:lang w:val="bg-BG"/>
        </w:rPr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>DirectX. 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orientation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72389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</w:t>
      </w:r>
      <w:r w:rsidR="005E3349">
        <w:rPr>
          <w:lang w:val="bg-BG"/>
        </w:rPr>
        <w:lastRenderedPageBreak/>
        <w:t xml:space="preserve">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7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 xml:space="preserve">. </w:t>
      </w:r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path_throughput(1,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mat.get_brdf(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8C0841">
      <w:pPr>
        <w:rPr>
          <w:lang w:val="bg-BG"/>
        </w:rPr>
      </w:pPr>
      <w:r>
        <w:rPr>
          <w:lang w:val="bg-BG"/>
        </w:rPr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float</w:t>
      </w:r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 xml:space="preserve">path_throughput *= f * glm::abs(glm::dot(incident,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L;</w:t>
      </w:r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18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8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330C6">
        <w:rPr>
          <w:rFonts w:eastAsiaTheme="minorHAnsi"/>
          <w:b/>
          <w:highlight w:val="white"/>
          <w:lang w:eastAsia="en-US"/>
        </w:rPr>
        <w:tab/>
      </w:r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_surface;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* samples;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highlight w:val="white"/>
          <w:lang w:eastAsia="en-US"/>
        </w:rPr>
        <w:t>: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apply_radiance(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A2D85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get_surface();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Film(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target);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~Film();</w:t>
      </w:r>
    </w:p>
    <w:p w:rsidR="00EC3356" w:rsidRDefault="00AA2D85" w:rsidP="00BA4E1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};</w:t>
      </w:r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value_as_color(</w:t>
      </w:r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+= value_as_color.r;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+= value_as_color.g;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+= value_</w:t>
      </w:r>
      <w:r w:rsidRPr="0045295C">
        <w:rPr>
          <w:rStyle w:val="Strong"/>
          <w:rFonts w:eastAsiaTheme="minorHAnsi"/>
          <w:highlight w:val="white"/>
        </w:rPr>
        <w:t>as</w:t>
      </w:r>
      <w:r>
        <w:rPr>
          <w:rFonts w:eastAsiaTheme="minorHAnsi"/>
          <w:highlight w:val="white"/>
          <w:lang w:eastAsia="en-US"/>
        </w:rPr>
        <w:t>_color.b;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samples_here += 1;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samples[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 * width + 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B82B0C" w:rsidP="0097653E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_surface-&gt;pixel(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) = </w:t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>(X,Y,Z, 255);</w:t>
      </w:r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19" w:name="_Toc411773168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19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enum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45295C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int</w:t>
      </w:r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if</w:t>
      </w:r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1 :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switch</w:t>
      </w:r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break</w:t>
      </w:r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5E1FEA">
      <w:pPr>
        <w:pStyle w:val="Quote"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_adapter.get_bounding_box(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class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>public</w:t>
      </w:r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995563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struct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84612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_pos(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get_bounding_box()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CE20FE">
      <w:pPr>
        <w:pStyle w:val="Quote"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CE20FE" w:rsidP="00CE20FE">
      <w:pPr>
        <w:pStyle w:val="Quote"/>
        <w:rPr>
          <w:lang w:val="bg-BG"/>
        </w:rPr>
      </w:pPr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BA5CBD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7C7AC4">
      <w:pPr>
        <w:rPr>
          <w:lang w:val="bg-BG"/>
        </w:rPr>
      </w:pPr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B313E7">
      <w:pPr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Triangle(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a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b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c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rt::core::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734F65" w:rsidRPr="009F6D03" w:rsidRDefault="007B196E" w:rsidP="009F6D03">
      <w:r>
        <w:rPr>
          <w:lang w:val="bg-BG"/>
        </w:rPr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42519B">
        <w:trPr>
          <w:trHeight w:val="539"/>
        </w:trPr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42519B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88373B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lastRenderedPageBreak/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1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lastRenderedPageBreak/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 xml:space="preserve">.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 xml:space="preserve">какъв е бил шансът да бъде избран този лъч.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evaluate_sample_f(glm::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DC100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>я пропусканите цветове(примерно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2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 xml:space="preserve">дадени дължини на </w:t>
      </w:r>
      <w:r w:rsidR="00653423">
        <w:rPr>
          <w:lang w:val="bg-BG"/>
        </w:rPr>
        <w:lastRenderedPageBreak/>
        <w:t>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get_color(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0000FF"/>
          <w:highlight w:val="white"/>
          <w:lang w:eastAsia="en-US"/>
        </w:rPr>
        <w:t>return</w:t>
      </w:r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6965F2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get_color(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uvs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_surface.pixel(xpos,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514A79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3" w:name="_Toc411773172"/>
      <w:r>
        <w:rPr>
          <w:lang w:val="bg-BG"/>
        </w:rPr>
        <w:t>Сцена. Описание на виртуалната среда.</w:t>
      </w:r>
      <w:bookmarkEnd w:id="23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</w:t>
      </w:r>
      <w:r w:rsidR="001F43D1">
        <w:rPr>
          <w:lang w:val="bg-BG"/>
        </w:rPr>
        <w:lastRenderedPageBreak/>
        <w:t xml:space="preserve">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4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25" w:name="_Toc411773174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25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26" w:name="_Toc411773175"/>
      <w:r w:rsidRPr="002D10CF">
        <w:rPr>
          <w:lang w:val="bg-BG"/>
        </w:rPr>
        <w:lastRenderedPageBreak/>
        <w:t>Инсталация</w:t>
      </w:r>
      <w:bookmarkEnd w:id="26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7" w:name="_Toc411773176"/>
      <w:r w:rsidRPr="002D10CF">
        <w:rPr>
          <w:lang w:val="bg-BG"/>
        </w:rPr>
        <w:t>Ръководство за употреба</w:t>
      </w:r>
      <w:bookmarkEnd w:id="27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./scenes/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./scenes</w:t>
      </w:r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r>
        <w:t>i</w:t>
      </w:r>
      <w:r w:rsidR="005825F1">
        <w:t>mages</w:t>
      </w:r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r w:rsidR="00400C78" w:rsidRPr="0071110C">
        <w:t>m</w:t>
      </w:r>
      <w:r w:rsidR="00916251" w:rsidRPr="0071110C">
        <w:t>ethod = “path”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s</w:t>
      </w:r>
      <w:r w:rsidRPr="0071110C">
        <w:t>amples = 64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c</w:t>
      </w:r>
      <w:r w:rsidRPr="0071110C">
        <w:t>amera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t</w:t>
      </w:r>
      <w:r w:rsidRPr="0071110C">
        <w:t>ype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e</w:t>
      </w:r>
      <w:r w:rsidRPr="0071110C">
        <w:t>ye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l</w:t>
      </w:r>
      <w:r w:rsidRPr="0071110C">
        <w:t>ookat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f</w:t>
      </w:r>
      <w:r w:rsidRPr="0071110C">
        <w:t>ov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2814CF">
      <w:pPr>
        <w:pStyle w:val="Quote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bookmarkStart w:id="28" w:name="_GoBack"/>
      <w:bookmarkEnd w:id="28"/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</w:t>
      </w:r>
      <w:r w:rsidR="000A3ABF">
        <w:rPr>
          <w:rFonts w:asciiTheme="minorHAnsi" w:hAnsiTheme="minorHAnsi"/>
          <w:lang w:val="bg-BG"/>
        </w:rPr>
        <w:lastRenderedPageBreak/>
        <w:t xml:space="preserve">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132" w:rsidRDefault="00594132" w:rsidP="00872DBD">
      <w:r>
        <w:separator/>
      </w:r>
    </w:p>
  </w:endnote>
  <w:endnote w:type="continuationSeparator" w:id="0">
    <w:p w:rsidR="00594132" w:rsidRDefault="00594132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8F1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132" w:rsidRDefault="00594132" w:rsidP="00872DBD">
      <w:r>
        <w:separator/>
      </w:r>
    </w:p>
  </w:footnote>
  <w:footnote w:type="continuationSeparator" w:id="0">
    <w:p w:rsidR="00594132" w:rsidRDefault="00594132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36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0FC1"/>
    <w:rsid w:val="001419B3"/>
    <w:rsid w:val="001420C4"/>
    <w:rsid w:val="00143552"/>
    <w:rsid w:val="00145DEC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711C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5C32"/>
    <w:rsid w:val="002E634E"/>
    <w:rsid w:val="002E74C8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15C"/>
    <w:rsid w:val="00301472"/>
    <w:rsid w:val="00302A03"/>
    <w:rsid w:val="00302AAF"/>
    <w:rsid w:val="00302E60"/>
    <w:rsid w:val="003039A9"/>
    <w:rsid w:val="0030498C"/>
    <w:rsid w:val="00304CF2"/>
    <w:rsid w:val="00304E26"/>
    <w:rsid w:val="00307B77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7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754"/>
    <w:rsid w:val="00336C1F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182A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17A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4132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65F2"/>
    <w:rsid w:val="00697965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710"/>
    <w:rsid w:val="007A48E4"/>
    <w:rsid w:val="007A4DCA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3978"/>
    <w:rsid w:val="008043A9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2DC2"/>
    <w:rsid w:val="008456F3"/>
    <w:rsid w:val="00846124"/>
    <w:rsid w:val="008468AB"/>
    <w:rsid w:val="00846A0F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426A"/>
    <w:rsid w:val="008846E2"/>
    <w:rsid w:val="00884983"/>
    <w:rsid w:val="00885A89"/>
    <w:rsid w:val="00887084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5BA3"/>
    <w:rsid w:val="008B60D8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4620"/>
    <w:rsid w:val="00944C62"/>
    <w:rsid w:val="00946C77"/>
    <w:rsid w:val="0094715A"/>
    <w:rsid w:val="00947C6D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6DBC"/>
    <w:rsid w:val="00A170F7"/>
    <w:rsid w:val="00A21FDE"/>
    <w:rsid w:val="00A23815"/>
    <w:rsid w:val="00A23DE8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1FF"/>
    <w:rsid w:val="00AE5713"/>
    <w:rsid w:val="00AE7A23"/>
    <w:rsid w:val="00AE7E74"/>
    <w:rsid w:val="00AF00E9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4264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5C87"/>
    <w:rsid w:val="00B97933"/>
    <w:rsid w:val="00BA0096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EC1"/>
    <w:rsid w:val="00BE5F18"/>
    <w:rsid w:val="00BE69B2"/>
    <w:rsid w:val="00BE7C86"/>
    <w:rsid w:val="00BE7F9E"/>
    <w:rsid w:val="00BF1852"/>
    <w:rsid w:val="00BF1B41"/>
    <w:rsid w:val="00BF3077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13F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520E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4A5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4D38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EF7"/>
    <w:rsid w:val="00E44F6A"/>
    <w:rsid w:val="00E45F15"/>
    <w:rsid w:val="00E47213"/>
    <w:rsid w:val="00E47B97"/>
    <w:rsid w:val="00E5017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40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1094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8CD"/>
    <w:rsid w:val="00ED0997"/>
    <w:rsid w:val="00ED1E4C"/>
    <w:rsid w:val="00ED2346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366D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637909"/>
    <w:rsid w:val="0072585E"/>
    <w:rsid w:val="00A61BE9"/>
    <w:rsid w:val="00E16EBA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E9"/>
    <w:rPr>
      <w:color w:val="808080"/>
    </w:rPr>
  </w:style>
  <w:style w:type="paragraph" w:customStyle="1" w:styleId="C5DB554C30A44C8D8CEBF4DADF92AED5">
    <w:name w:val="C5DB554C30A44C8D8CEBF4DADF92AED5"/>
    <w:rsid w:val="00637909"/>
  </w:style>
  <w:style w:type="paragraph" w:customStyle="1" w:styleId="F2EB11E4047343C1B41527C8073D712C">
    <w:name w:val="F2EB11E4047343C1B41527C8073D712C"/>
    <w:rsid w:val="00637909"/>
  </w:style>
  <w:style w:type="paragraph" w:customStyle="1" w:styleId="5291BBB7EB6A47F7AC48FBFE44FB7340">
    <w:name w:val="5291BBB7EB6A47F7AC48FBFE44FB7340"/>
    <w:rsid w:val="00637909"/>
  </w:style>
  <w:style w:type="paragraph" w:customStyle="1" w:styleId="E6DE8A938C0C490C8784E6A2FDDF9F79">
    <w:name w:val="E6DE8A938C0C490C8784E6A2FDDF9F79"/>
    <w:rsid w:val="00637909"/>
  </w:style>
  <w:style w:type="paragraph" w:customStyle="1" w:styleId="21F49CE6C4C848A1A37FDBEAE6AEA689">
    <w:name w:val="21F49CE6C4C848A1A37FDBEAE6AEA689"/>
    <w:rsid w:val="00637909"/>
  </w:style>
  <w:style w:type="paragraph" w:customStyle="1" w:styleId="AEAE26AF7F544035B60F0B48FEA31AAA">
    <w:name w:val="AEAE26AF7F544035B60F0B48FEA31AAA"/>
    <w:rsid w:val="00637909"/>
  </w:style>
  <w:style w:type="paragraph" w:customStyle="1" w:styleId="1B54A9C48A5F4BA597C5C434F529A95F">
    <w:name w:val="1B54A9C48A5F4BA597C5C434F529A95F"/>
    <w:rsid w:val="00637909"/>
  </w:style>
  <w:style w:type="paragraph" w:customStyle="1" w:styleId="99E24B8B0F2E4E36B0F568ABF599027B">
    <w:name w:val="99E24B8B0F2E4E36B0F568ABF599027B"/>
    <w:rsid w:val="00A61BE9"/>
  </w:style>
  <w:style w:type="paragraph" w:customStyle="1" w:styleId="3211430BC89A437880D3623421191536">
    <w:name w:val="3211430BC89A437880D3623421191536"/>
    <w:rsid w:val="00A61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4E7BAB32-C6E2-451A-967F-299A04EB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50</Pages>
  <Words>11776</Words>
  <Characters>67125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3197</cp:revision>
  <dcterms:created xsi:type="dcterms:W3CDTF">2015-01-08T12:46:00Z</dcterms:created>
  <dcterms:modified xsi:type="dcterms:W3CDTF">2015-02-15T17:21:00Z</dcterms:modified>
</cp:coreProperties>
</file>