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418268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418269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418270"/>
      <w:r w:rsidRPr="0069644A">
        <w:rPr>
          <w:rStyle w:val="Heading2Char"/>
        </w:rPr>
        <w:t>Основни принципи</w:t>
      </w:r>
      <w:bookmarkEnd w:id="2"/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 по ко</w:t>
      </w:r>
      <w:r w:rsidR="00B81CB6">
        <w:rPr>
          <w:rFonts w:ascii="Consolas" w:hAnsi="Consolas" w:cs="Consolas"/>
          <w:sz w:val="28"/>
          <w:lang w:val="bg-BG"/>
        </w:rPr>
        <w:t>и</w:t>
      </w:r>
      <w:bookmarkStart w:id="3" w:name="_GoBack"/>
      <w:bookmarkEnd w:id="3"/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851CA1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851CA1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851CA1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851CA1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4" w:name="_Toc411418271"/>
      <w:r w:rsidRPr="00826B6E">
        <w:rPr>
          <w:b w:val="0"/>
        </w:rPr>
        <w:t>Технологии за разработване на рей-трейсъри</w:t>
      </w:r>
      <w:bookmarkEnd w:id="4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</w:t>
      </w:r>
      <w:r w:rsidR="00FC2157">
        <w:rPr>
          <w:rFonts w:ascii="Consolas" w:hAnsi="Consolas" w:cs="Consolas"/>
          <w:sz w:val="28"/>
          <w:lang w:val="bg-BG"/>
        </w:rPr>
        <w:lastRenderedPageBreak/>
        <w:t xml:space="preserve">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5" w:name="_Toc411418272"/>
      <w:r w:rsidRPr="007C6054">
        <w:rPr>
          <w:b w:val="0"/>
          <w:lang w:val="bg-BG"/>
        </w:rPr>
        <w:t>Съществуващи решения и реализации</w:t>
      </w:r>
      <w:bookmarkEnd w:id="5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6" w:name="_Toc411418273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6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418274"/>
      <w:r w:rsidRPr="006A55E8">
        <w:rPr>
          <w:rStyle w:val="Heading2Char"/>
        </w:rPr>
        <w:t>Функционални изисквания към рей трейсъра</w:t>
      </w:r>
      <w:bookmarkEnd w:id="7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 xml:space="preserve">съотношението на височината и широчината на крайното изображение.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8" w:name="_Toc411418275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8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</w:t>
      </w:r>
      <w:r w:rsidR="006F616B">
        <w:rPr>
          <w:rFonts w:ascii="Consolas" w:hAnsi="Consolas" w:cs="Consolas"/>
          <w:sz w:val="28"/>
          <w:lang w:val="bg-BG"/>
        </w:rPr>
        <w:lastRenderedPageBreak/>
        <w:t xml:space="preserve">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9" w:name="_Toc411418276"/>
      <w:r>
        <w:rPr>
          <w:lang w:val="bg-BG"/>
        </w:rPr>
        <w:t>Избор на език и среда за програмиране</w:t>
      </w:r>
      <w:bookmarkEnd w:id="9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418277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1025D2" w:rsidRDefault="00601F15" w:rsidP="001025D2">
      <w:pPr>
        <w:pStyle w:val="Heading2"/>
        <w:rPr>
          <w:lang w:val="bg-BG"/>
        </w:rPr>
      </w:pPr>
      <w:bookmarkStart w:id="11" w:name="_Toc411418278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1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2" w:name="_Toc411418279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2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418280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418281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418282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418283"/>
      <w:r>
        <w:rPr>
          <w:lang w:val="bg-BG"/>
        </w:rPr>
        <w:t>Самплер</w:t>
      </w:r>
      <w:bookmarkEnd w:id="16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418284"/>
      <w:r>
        <w:rPr>
          <w:lang w:val="bg-BG"/>
        </w:rPr>
        <w:lastRenderedPageBreak/>
        <w:t>Камера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418285"/>
      <w:r>
        <w:rPr>
          <w:lang w:val="bg-BG"/>
        </w:rPr>
        <w:t>Интегратор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418286"/>
      <w:r>
        <w:rPr>
          <w:lang w:val="bg-BG"/>
        </w:rPr>
        <w:t>Филм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418287"/>
      <w:r>
        <w:rPr>
          <w:lang w:val="bg-BG"/>
        </w:rPr>
        <w:lastRenderedPageBreak/>
        <w:t>Индексиращи структури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418288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418289"/>
      <w:r>
        <w:rPr>
          <w:lang w:val="bg-BG"/>
        </w:rPr>
        <w:t>Материална система</w:t>
      </w:r>
      <w:bookmarkEnd w:id="22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418290"/>
      <w:r>
        <w:rPr>
          <w:lang w:val="bg-BG"/>
        </w:rPr>
        <w:t>Обработка на текстури</w:t>
      </w:r>
      <w:bookmarkEnd w:id="23"/>
    </w:p>
    <w:p w:rsidR="00005FEF" w:rsidRPr="006B5A3B" w:rsidRDefault="0043046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4" w:name="_Toc411418291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4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5" w:name="_Toc411418292"/>
      <w:r w:rsidRPr="002D10CF">
        <w:rPr>
          <w:lang w:val="bg-BG"/>
        </w:rPr>
        <w:t>Изисквания към компютърната конфигурация</w:t>
      </w:r>
      <w:bookmarkEnd w:id="25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6" w:name="_Toc411418293"/>
      <w:r w:rsidRPr="002D10CF">
        <w:rPr>
          <w:lang w:val="bg-BG"/>
        </w:rPr>
        <w:t>Инсталация</w:t>
      </w:r>
      <w:bookmarkEnd w:id="26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7" w:name="_Toc411418294"/>
      <w:r w:rsidRPr="002D10CF">
        <w:rPr>
          <w:lang w:val="bg-BG"/>
        </w:rPr>
        <w:t>Ръководство за употреба</w:t>
      </w:r>
      <w:bookmarkEnd w:id="27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 xml:space="preserve">Листа може да се </w:t>
      </w:r>
      <w:r w:rsidR="00CE2578">
        <w:rPr>
          <w:rFonts w:asciiTheme="minorHAnsi" w:hAnsiTheme="minorHAnsi"/>
          <w:lang w:val="bg-BG"/>
        </w:rPr>
        <w:lastRenderedPageBreak/>
        <w:t>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</w:t>
      </w:r>
      <w:r w:rsidR="00BD0EBE">
        <w:rPr>
          <w:rFonts w:asciiTheme="minorHAnsi" w:hAnsiTheme="minorHAnsi"/>
          <w:lang w:val="bg-BG"/>
        </w:rPr>
        <w:lastRenderedPageBreak/>
        <w:t xml:space="preserve">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8" w:name="_Toc411418295"/>
      <w:r w:rsidRPr="002D10CF">
        <w:rPr>
          <w:lang w:val="bg-BG"/>
        </w:rPr>
        <w:lastRenderedPageBreak/>
        <w:t>ЗАКЛЮЧЕНИЕ</w:t>
      </w:r>
      <w:bookmarkEnd w:id="28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29" w:name="_Toc411418296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29"/>
        </w:p>
        <w:p w:rsidR="009569C5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9569C5" w:rsidRDefault="009569C5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A927DD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418268" w:history="1">
            <w:r w:rsidR="00A927DD" w:rsidRPr="00EE152B">
              <w:rPr>
                <w:rStyle w:val="Hyperlink"/>
                <w:noProof/>
              </w:rPr>
              <w:t>Увод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69" w:history="1">
            <w:r w:rsidR="00A927DD" w:rsidRPr="00EE152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0" w:history="1">
            <w:r w:rsidR="00A927DD" w:rsidRPr="00EE152B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Основни принципи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1" w:history="1">
            <w:r w:rsidR="00A927DD" w:rsidRPr="00EE152B">
              <w:rPr>
                <w:rStyle w:val="Hyperlink"/>
                <w:noProof/>
              </w:rPr>
              <w:t>1.2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Технологии за разработване на рей-трейсъри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2" w:history="1">
            <w:r w:rsidR="00A927DD" w:rsidRPr="00EE152B">
              <w:rPr>
                <w:rStyle w:val="Hyperlink"/>
                <w:noProof/>
                <w:lang w:val="bg-BG"/>
              </w:rPr>
              <w:t>1.3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3" w:history="1">
            <w:r w:rsidR="00A927DD" w:rsidRPr="00EE152B">
              <w:rPr>
                <w:rStyle w:val="Hyperlink"/>
                <w:noProof/>
                <w:lang w:val="bg-BG"/>
              </w:rPr>
              <w:t>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ВТОРА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A927DD" w:rsidRPr="00EE152B">
              <w:rPr>
                <w:rStyle w:val="Hyperlink"/>
                <w:noProof/>
              </w:rPr>
              <w:t>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9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4" w:history="1">
            <w:r w:rsidR="00A927DD"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Функционални изисквания към рей трейсъра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9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5" w:history="1">
            <w:r w:rsidR="00A927DD"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Описание на главните алгоритми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6" w:history="1">
            <w:r w:rsidR="00A927DD" w:rsidRPr="00EE152B">
              <w:rPr>
                <w:rStyle w:val="Hyperlink"/>
                <w:noProof/>
                <w:lang w:val="bg-BG"/>
              </w:rPr>
              <w:t>2.3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16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7" w:history="1">
            <w:r w:rsidR="00A927DD" w:rsidRPr="00EE152B">
              <w:rPr>
                <w:rStyle w:val="Hyperlink"/>
                <w:noProof/>
                <w:lang w:val="bg-BG"/>
              </w:rPr>
              <w:t>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ТРЕТА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A927DD" w:rsidRPr="00EE152B">
              <w:rPr>
                <w:rStyle w:val="Hyperlink"/>
                <w:noProof/>
              </w:rPr>
              <w:t>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_Toc411418277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8" w:history="1">
            <w:r w:rsidR="00A927DD" w:rsidRPr="00EE152B">
              <w:rPr>
                <w:rStyle w:val="Hyperlink"/>
                <w:noProof/>
                <w:lang w:val="bg-BG"/>
              </w:rPr>
              <w:t>3.1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9" w:history="1">
            <w:r w:rsidR="00A927DD" w:rsidRPr="00EE152B">
              <w:rPr>
                <w:rStyle w:val="Hyperlink"/>
                <w:noProof/>
                <w:lang w:val="bg-BG"/>
              </w:rPr>
              <w:t>3.2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0" w:history="1">
            <w:r w:rsidR="00A927DD" w:rsidRPr="00EE152B">
              <w:rPr>
                <w:rStyle w:val="Hyperlink"/>
                <w:noProof/>
                <w:lang w:val="bg-BG"/>
              </w:rPr>
              <w:t>3.3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A927DD" w:rsidRPr="00EE152B">
              <w:rPr>
                <w:rStyle w:val="Hyperlink"/>
                <w:noProof/>
              </w:rPr>
              <w:t>SDL2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1" w:history="1">
            <w:r w:rsidR="00A927DD" w:rsidRPr="00EE152B">
              <w:rPr>
                <w:rStyle w:val="Hyperlink"/>
                <w:noProof/>
                <w:lang w:val="bg-BG"/>
              </w:rPr>
              <w:t>3.4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24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2" w:history="1">
            <w:r w:rsidR="00A927DD" w:rsidRPr="00EE152B">
              <w:rPr>
                <w:rStyle w:val="Hyperlink"/>
                <w:noProof/>
                <w:lang w:val="bg-BG"/>
              </w:rPr>
              <w:t>3.5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Рендърър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25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3" w:history="1">
            <w:r w:rsidR="00A927DD" w:rsidRPr="00EE152B">
              <w:rPr>
                <w:rStyle w:val="Hyperlink"/>
                <w:noProof/>
                <w:lang w:val="bg-BG"/>
              </w:rPr>
              <w:t>3.6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Самплер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4" w:history="1">
            <w:r w:rsidR="00A927DD" w:rsidRPr="00EE152B">
              <w:rPr>
                <w:rStyle w:val="Hyperlink"/>
                <w:noProof/>
                <w:lang w:val="bg-BG"/>
              </w:rPr>
              <w:t>3.7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Камера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5" w:history="1">
            <w:r w:rsidR="00A927DD" w:rsidRPr="00EE152B">
              <w:rPr>
                <w:rStyle w:val="Hyperlink"/>
                <w:noProof/>
                <w:lang w:val="bg-BG"/>
              </w:rPr>
              <w:t>3.8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Интегратор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31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6" w:history="1">
            <w:r w:rsidR="00A927DD" w:rsidRPr="00EE152B">
              <w:rPr>
                <w:rStyle w:val="Hyperlink"/>
                <w:noProof/>
                <w:lang w:val="bg-BG"/>
              </w:rPr>
              <w:t>3.9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Филм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34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7" w:history="1">
            <w:r w:rsidR="00A927DD" w:rsidRPr="00EE152B">
              <w:rPr>
                <w:rStyle w:val="Hyperlink"/>
                <w:noProof/>
                <w:lang w:val="bg-BG"/>
              </w:rPr>
              <w:t>3.10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Индексиращи структури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_Toc411418287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35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8" w:history="1">
            <w:r w:rsidR="00A927DD" w:rsidRPr="00EE152B">
              <w:rPr>
                <w:rStyle w:val="Hyperlink"/>
                <w:noProof/>
              </w:rPr>
              <w:t>3.11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9" w:history="1">
            <w:r w:rsidR="00A927DD" w:rsidRPr="00EE152B">
              <w:rPr>
                <w:rStyle w:val="Hyperlink"/>
                <w:noProof/>
                <w:lang w:val="bg-BG"/>
              </w:rPr>
              <w:t>3.12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Материална система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0" w:history="1">
            <w:r w:rsidR="00A927DD" w:rsidRPr="00EE152B">
              <w:rPr>
                <w:rStyle w:val="Hyperlink"/>
                <w:noProof/>
                <w:lang w:val="bg-BG"/>
              </w:rPr>
              <w:t>3.13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Обработка на текстури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41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91" w:history="1">
            <w:r w:rsidR="00A927DD" w:rsidRPr="00EE152B">
              <w:rPr>
                <w:rStyle w:val="Hyperlink"/>
                <w:noProof/>
              </w:rPr>
              <w:t>4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ЧЕТВЪРТА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2" w:history="1">
            <w:r w:rsidR="00A927DD" w:rsidRPr="00EE152B">
              <w:rPr>
                <w:rStyle w:val="Hyperlink"/>
                <w:rFonts w:ascii="Consolas" w:hAnsi="Consolas" w:cs="Consolas"/>
                <w:noProof/>
              </w:rPr>
              <w:t>4.1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3" w:history="1">
            <w:r w:rsidR="00A927DD" w:rsidRPr="00EE152B">
              <w:rPr>
                <w:rStyle w:val="Hyperlink"/>
                <w:noProof/>
              </w:rPr>
              <w:t>4.2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Инсталация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4" w:history="1">
            <w:r w:rsidR="00A927DD" w:rsidRPr="00EE152B">
              <w:rPr>
                <w:rStyle w:val="Hyperlink"/>
                <w:rFonts w:ascii="Consolas" w:hAnsi="Consolas" w:cs="Consolas"/>
                <w:noProof/>
              </w:rPr>
              <w:t>4.3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5" w:history="1">
            <w:r w:rsidR="00A927DD" w:rsidRPr="00EE152B">
              <w:rPr>
                <w:rStyle w:val="Hyperlink"/>
                <w:noProof/>
                <w:lang w:val="bg-BG"/>
              </w:rPr>
              <w:t>ЗАКЛЮЧЕНИЕ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851CA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6" w:history="1">
            <w:r w:rsidR="00A927DD" w:rsidRPr="00EE152B">
              <w:rPr>
                <w:rStyle w:val="Hyperlink"/>
                <w:noProof/>
                <w:lang w:val="bg-BG"/>
              </w:rPr>
              <w:t>ИЗПОЛЗВАНА ЛИТЕРАТУРА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B3D" w:rsidRDefault="00630B3D" w:rsidP="00872DBD">
      <w:r>
        <w:separator/>
      </w:r>
    </w:p>
  </w:endnote>
  <w:endnote w:type="continuationSeparator" w:id="0">
    <w:p w:rsidR="00630B3D" w:rsidRDefault="00630B3D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B3D" w:rsidRDefault="00630B3D" w:rsidP="00872DBD">
      <w:r>
        <w:separator/>
      </w:r>
    </w:p>
  </w:footnote>
  <w:footnote w:type="continuationSeparator" w:id="0">
    <w:p w:rsidR="00630B3D" w:rsidRDefault="00630B3D" w:rsidP="00872DBD">
      <w:r>
        <w:continuationSeparator/>
      </w:r>
    </w:p>
  </w:footnote>
  <w:footnote w:id="1">
    <w:p w:rsidR="00851CA1" w:rsidRPr="00A927DD" w:rsidRDefault="00851CA1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7198"/>
    <w:rsid w:val="000277E3"/>
    <w:rsid w:val="0003115B"/>
    <w:rsid w:val="00031366"/>
    <w:rsid w:val="00032061"/>
    <w:rsid w:val="000330C6"/>
    <w:rsid w:val="000342F8"/>
    <w:rsid w:val="000353ED"/>
    <w:rsid w:val="000408A7"/>
    <w:rsid w:val="00046B54"/>
    <w:rsid w:val="000501DA"/>
    <w:rsid w:val="000508D5"/>
    <w:rsid w:val="00052901"/>
    <w:rsid w:val="00053941"/>
    <w:rsid w:val="00054061"/>
    <w:rsid w:val="00056919"/>
    <w:rsid w:val="00057BB8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E63"/>
    <w:rsid w:val="00084F7B"/>
    <w:rsid w:val="00085E5F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C43"/>
    <w:rsid w:val="00097ECF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35A8"/>
    <w:rsid w:val="000E3676"/>
    <w:rsid w:val="000E3F05"/>
    <w:rsid w:val="000E4C82"/>
    <w:rsid w:val="000E557F"/>
    <w:rsid w:val="000E66B5"/>
    <w:rsid w:val="000E74DC"/>
    <w:rsid w:val="000E7D5A"/>
    <w:rsid w:val="000F03AA"/>
    <w:rsid w:val="000F12F9"/>
    <w:rsid w:val="000F2BF8"/>
    <w:rsid w:val="000F30AC"/>
    <w:rsid w:val="000F3435"/>
    <w:rsid w:val="000F37B3"/>
    <w:rsid w:val="000F470E"/>
    <w:rsid w:val="000F53CB"/>
    <w:rsid w:val="000F57E1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B6DDF"/>
    <w:rsid w:val="001C221A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570"/>
    <w:rsid w:val="002366C5"/>
    <w:rsid w:val="00237374"/>
    <w:rsid w:val="00237BDE"/>
    <w:rsid w:val="00243963"/>
    <w:rsid w:val="002476D5"/>
    <w:rsid w:val="00255168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6FD5"/>
    <w:rsid w:val="002D722A"/>
    <w:rsid w:val="002E0B45"/>
    <w:rsid w:val="002E1746"/>
    <w:rsid w:val="002E255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2005D"/>
    <w:rsid w:val="003203E7"/>
    <w:rsid w:val="003205E0"/>
    <w:rsid w:val="00322B49"/>
    <w:rsid w:val="00327838"/>
    <w:rsid w:val="0033145B"/>
    <w:rsid w:val="0033353B"/>
    <w:rsid w:val="00334857"/>
    <w:rsid w:val="00335CEB"/>
    <w:rsid w:val="00336754"/>
    <w:rsid w:val="0033700B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6A46"/>
    <w:rsid w:val="00390F4C"/>
    <w:rsid w:val="0039131F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55D"/>
    <w:rsid w:val="003F2DFA"/>
    <w:rsid w:val="003F31BE"/>
    <w:rsid w:val="003F3F8C"/>
    <w:rsid w:val="003F43F4"/>
    <w:rsid w:val="003F467F"/>
    <w:rsid w:val="003F485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10939"/>
    <w:rsid w:val="005115C1"/>
    <w:rsid w:val="005124EE"/>
    <w:rsid w:val="005140B0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E4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77B07"/>
    <w:rsid w:val="005803FC"/>
    <w:rsid w:val="00580A4C"/>
    <w:rsid w:val="0058130A"/>
    <w:rsid w:val="005825F1"/>
    <w:rsid w:val="00582767"/>
    <w:rsid w:val="00583F52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0B3D"/>
    <w:rsid w:val="00631CD9"/>
    <w:rsid w:val="006328FF"/>
    <w:rsid w:val="00633ED3"/>
    <w:rsid w:val="0063459A"/>
    <w:rsid w:val="006346A5"/>
    <w:rsid w:val="00634C54"/>
    <w:rsid w:val="00636331"/>
    <w:rsid w:val="006370B6"/>
    <w:rsid w:val="00637388"/>
    <w:rsid w:val="006407B3"/>
    <w:rsid w:val="006409EB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E24"/>
    <w:rsid w:val="006541D1"/>
    <w:rsid w:val="0065466C"/>
    <w:rsid w:val="00656F55"/>
    <w:rsid w:val="00657B0A"/>
    <w:rsid w:val="00662941"/>
    <w:rsid w:val="006637F5"/>
    <w:rsid w:val="00663A0B"/>
    <w:rsid w:val="00667217"/>
    <w:rsid w:val="00672E62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2B9"/>
    <w:rsid w:val="006B15B9"/>
    <w:rsid w:val="006B5A3B"/>
    <w:rsid w:val="006B7BF7"/>
    <w:rsid w:val="006C037C"/>
    <w:rsid w:val="006C041A"/>
    <w:rsid w:val="006C0CE1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4C49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31084"/>
    <w:rsid w:val="00731414"/>
    <w:rsid w:val="00731663"/>
    <w:rsid w:val="007332D8"/>
    <w:rsid w:val="00734F65"/>
    <w:rsid w:val="007352E9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B106F"/>
    <w:rsid w:val="007B196E"/>
    <w:rsid w:val="007B295A"/>
    <w:rsid w:val="007B34AC"/>
    <w:rsid w:val="007B3763"/>
    <w:rsid w:val="007B76E7"/>
    <w:rsid w:val="007C0BF7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771"/>
    <w:rsid w:val="00805F2B"/>
    <w:rsid w:val="00806979"/>
    <w:rsid w:val="00811194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1CA1"/>
    <w:rsid w:val="008545E1"/>
    <w:rsid w:val="00856316"/>
    <w:rsid w:val="00856670"/>
    <w:rsid w:val="00856A79"/>
    <w:rsid w:val="00856C17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901C7D"/>
    <w:rsid w:val="00902376"/>
    <w:rsid w:val="00902AFD"/>
    <w:rsid w:val="009045CB"/>
    <w:rsid w:val="009058F2"/>
    <w:rsid w:val="00905BF6"/>
    <w:rsid w:val="00905C25"/>
    <w:rsid w:val="00907491"/>
    <w:rsid w:val="00910EEC"/>
    <w:rsid w:val="00911F40"/>
    <w:rsid w:val="00912242"/>
    <w:rsid w:val="00912DC6"/>
    <w:rsid w:val="00916251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D7456"/>
    <w:rsid w:val="009E15FB"/>
    <w:rsid w:val="009E216F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8C4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7145"/>
    <w:rsid w:val="00A90AB3"/>
    <w:rsid w:val="00A913B1"/>
    <w:rsid w:val="00A921BC"/>
    <w:rsid w:val="00A927DD"/>
    <w:rsid w:val="00A936A4"/>
    <w:rsid w:val="00A94137"/>
    <w:rsid w:val="00A948A1"/>
    <w:rsid w:val="00A9569F"/>
    <w:rsid w:val="00A95B62"/>
    <w:rsid w:val="00A95D62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433"/>
    <w:rsid w:val="00AB092E"/>
    <w:rsid w:val="00AB10C7"/>
    <w:rsid w:val="00AB2697"/>
    <w:rsid w:val="00AB433A"/>
    <w:rsid w:val="00AB621E"/>
    <w:rsid w:val="00AB63E0"/>
    <w:rsid w:val="00AC06DA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1AF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4F9"/>
    <w:rsid w:val="00B029FB"/>
    <w:rsid w:val="00B02AAB"/>
    <w:rsid w:val="00B03720"/>
    <w:rsid w:val="00B03DDC"/>
    <w:rsid w:val="00B057A3"/>
    <w:rsid w:val="00B11644"/>
    <w:rsid w:val="00B12515"/>
    <w:rsid w:val="00B12EBD"/>
    <w:rsid w:val="00B15132"/>
    <w:rsid w:val="00B167F7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FAD"/>
    <w:rsid w:val="00B80A89"/>
    <w:rsid w:val="00B80ADD"/>
    <w:rsid w:val="00B81CB6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5003B"/>
    <w:rsid w:val="00C5005F"/>
    <w:rsid w:val="00C519FE"/>
    <w:rsid w:val="00C525BD"/>
    <w:rsid w:val="00C5260C"/>
    <w:rsid w:val="00C53B67"/>
    <w:rsid w:val="00C5448D"/>
    <w:rsid w:val="00C562E2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CA4"/>
    <w:rsid w:val="00CA7056"/>
    <w:rsid w:val="00CB0AA7"/>
    <w:rsid w:val="00CB2DFE"/>
    <w:rsid w:val="00CB30C4"/>
    <w:rsid w:val="00CB41BB"/>
    <w:rsid w:val="00CB7CDE"/>
    <w:rsid w:val="00CC0D25"/>
    <w:rsid w:val="00CC1B1A"/>
    <w:rsid w:val="00CC1E2A"/>
    <w:rsid w:val="00CC2FD2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D1D"/>
    <w:rsid w:val="00CE1224"/>
    <w:rsid w:val="00CE1821"/>
    <w:rsid w:val="00CE2578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6F0A"/>
    <w:rsid w:val="00D17CD9"/>
    <w:rsid w:val="00D24634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FB9"/>
    <w:rsid w:val="00DF43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3C40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2D60"/>
    <w:rsid w:val="00E24EAD"/>
    <w:rsid w:val="00E25853"/>
    <w:rsid w:val="00E26364"/>
    <w:rsid w:val="00E27E9A"/>
    <w:rsid w:val="00E3094E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5AD"/>
    <w:rsid w:val="00E71B41"/>
    <w:rsid w:val="00E71ECF"/>
    <w:rsid w:val="00E725A7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38C1"/>
    <w:rsid w:val="00F43C0A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C12"/>
    <w:rsid w:val="00F94D6D"/>
    <w:rsid w:val="00F94EFE"/>
    <w:rsid w:val="00F95099"/>
    <w:rsid w:val="00F9650F"/>
    <w:rsid w:val="00F966C0"/>
    <w:rsid w:val="00FA0961"/>
    <w:rsid w:val="00FA28BA"/>
    <w:rsid w:val="00FA2D51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256C69A9-4FBE-43E4-A1B3-474E63D1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49</Pages>
  <Words>10933</Words>
  <Characters>62324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2445</cp:revision>
  <dcterms:created xsi:type="dcterms:W3CDTF">2015-01-08T12:46:00Z</dcterms:created>
  <dcterms:modified xsi:type="dcterms:W3CDTF">2015-02-12T14:45:00Z</dcterms:modified>
</cp:coreProperties>
</file>