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E751" w14:textId="77777777" w:rsidR="001062E7" w:rsidRPr="00793712" w:rsidRDefault="00000000" w:rsidP="00793712">
      <w:pPr>
        <w:pStyle w:val="Heading1"/>
        <w:jc w:val="both"/>
        <w:rPr>
          <w:rFonts w:ascii="Times New Roman" w:hAnsi="Times New Roman" w:cs="Times New Roman"/>
        </w:rPr>
      </w:pPr>
      <w:r w:rsidRPr="00793712">
        <w:rPr>
          <w:rFonts w:ascii="Times New Roman" w:hAnsi="Times New Roman" w:cs="Times New Roman"/>
        </w:rPr>
        <w:t>Arrest Disparities Across Chicago Police Districts: A Multilevel Logistic Regression Analysis</w:t>
      </w:r>
    </w:p>
    <w:p w14:paraId="146EFCE0" w14:textId="77777777" w:rsidR="001062E7" w:rsidRPr="00793712" w:rsidRDefault="00000000" w:rsidP="00793712">
      <w:pPr>
        <w:pStyle w:val="Heading2"/>
        <w:jc w:val="both"/>
        <w:rPr>
          <w:rFonts w:ascii="Times New Roman" w:hAnsi="Times New Roman" w:cs="Times New Roman"/>
        </w:rPr>
      </w:pPr>
      <w:r w:rsidRPr="00793712">
        <w:rPr>
          <w:rFonts w:ascii="Times New Roman" w:hAnsi="Times New Roman" w:cs="Times New Roman"/>
        </w:rPr>
        <w:t>Introduction</w:t>
      </w:r>
    </w:p>
    <w:p w14:paraId="00E7C6D1"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The legitimacy of American policing fundamentally depends on the equitable administration of justice across communities. When similarly situated individuals receive systematically different treatment based on where they live or which police district responds to their incident, fundamental questions arise about fairness, accountability, and the rule of law. Policing in the United States is in crisis. Public confidence in policing is at the lowest point since the Rodney King beating. A bare majority of Americans still report confidence in the police, and an unprecedented number of people report no or very little confidence in policing. (</w:t>
      </w:r>
      <w:hyperlink w:anchor="ref-seth2016">
        <w:r w:rsidRPr="00793712">
          <w:rPr>
            <w:rStyle w:val="Hyperlink"/>
            <w:rFonts w:ascii="Times New Roman" w:hAnsi="Times New Roman" w:cs="Times New Roman"/>
          </w:rPr>
          <w:t>Stoughton, 2016</w:t>
        </w:r>
      </w:hyperlink>
      <w:r w:rsidRPr="00793712">
        <w:rPr>
          <w:rFonts w:ascii="Times New Roman" w:hAnsi="Times New Roman" w:cs="Times New Roman"/>
        </w:rPr>
        <w:t>) This crisis of legitimacy is particularly acute when enforcement patterns vary dramatically across jurisdictions in ways that cannot be explained by the characteristics of crimes themselves.</w:t>
      </w:r>
    </w:p>
    <w:p w14:paraId="56C2DE3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Arrest represents one of the most consequential exercises of police discretion. The decision to arrest—rather than warn, cite, or release—initiates a cascade of criminal justice consequences that can fundamentally alter an individual's life trajectory. Research on inequality in punishment has a long and storied history, yet the overwhelming focus has been on episodic disparity in isolated stages of criminal case processing (e.g., arrest, prosecution, or sentencing). Although theories of cumulative disadvantage exist in criminology, they are seldom adapted to account for treatment in the criminal justice system. (</w:t>
      </w:r>
      <w:hyperlink w:anchor="ref-megan2019">
        <w:r w:rsidRPr="00793712">
          <w:rPr>
            <w:rStyle w:val="Hyperlink"/>
            <w:rFonts w:ascii="Times New Roman" w:hAnsi="Times New Roman" w:cs="Times New Roman"/>
          </w:rPr>
          <w:t>Kurlychek &amp; Johnson, 2019</w:t>
        </w:r>
      </w:hyperlink>
      <w:r w:rsidRPr="00793712">
        <w:rPr>
          <w:rFonts w:ascii="Times New Roman" w:hAnsi="Times New Roman" w:cs="Times New Roman"/>
        </w:rPr>
        <w:t>) Understanding the sources of variation in arrest decisions is therefore essential for both theoretical advancement and practical reform.</w:t>
      </w:r>
    </w:p>
    <w:p w14:paraId="0CD30CB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use of proactive tactics to disrupt criminal activities, such as Terry street stops and concentrated misdemeanor arrests, are essential to the "new policing." This model applies complex metrics, strong management, and aggressive enforcement and surveillance to focus policing on high crime risk persons and places. (</w:t>
      </w:r>
      <w:hyperlink w:anchor="ref-jeffrey2016">
        <w:r w:rsidRPr="00793712">
          <w:rPr>
            <w:rStyle w:val="Hyperlink"/>
            <w:rFonts w:ascii="Times New Roman" w:hAnsi="Times New Roman" w:cs="Times New Roman"/>
          </w:rPr>
          <w:t>Fagan et al., 2016</w:t>
        </w:r>
      </w:hyperlink>
      <w:r w:rsidRPr="00793712">
        <w:rPr>
          <w:rFonts w:ascii="Times New Roman" w:hAnsi="Times New Roman" w:cs="Times New Roman"/>
        </w:rPr>
        <w:t>) However, this model has generated substantial concerns about disparate treatment. Empirical evidence showed that minorities were indeed stopped and arrested more frequently than similarly situated Whites, even when controlling for local social and crime conditions. (</w:t>
      </w:r>
      <w:hyperlink w:anchor="ref-jeffrey2016">
        <w:r w:rsidRPr="00793712">
          <w:rPr>
            <w:rStyle w:val="Hyperlink"/>
            <w:rFonts w:ascii="Times New Roman" w:hAnsi="Times New Roman" w:cs="Times New Roman"/>
          </w:rPr>
          <w:t>Fagan et al., 2016</w:t>
        </w:r>
      </w:hyperlink>
      <w:r w:rsidRPr="00793712">
        <w:rPr>
          <w:rFonts w:ascii="Times New Roman" w:hAnsi="Times New Roman" w:cs="Times New Roman"/>
        </w:rPr>
        <w:t>) Such findings raise fundamental questions about whether observed disparities reflect legitimate enforcement priorities or problematic discrimination.</w:t>
      </w:r>
    </w:p>
    <w:p w14:paraId="179AB027"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Chicago presents an ideal context for examining these questions. With 22 police districts spanning 77 community areas, the city encompasses tremendous diversity in crime patterns, demographic composition, and enforcement cultures. The Chicago Police Department serves as one of the nation's largest municipal law enforcement agencies, handling millions of criminal incidents over the past decade. This scale and organizational complexity creates natural variation in how different districts approach enforcement—variation that can be systematically analyzed to understand the sources of arrest disparities.</w:t>
      </w:r>
    </w:p>
    <w:p w14:paraId="2464977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The central research question guiding this analysis asks: What proportion of variation in arrest outcomes is explained at the incident level versus the community area level versus the police district level? This question has profound implications for reform efforts. If most variation </w:t>
      </w:r>
      <w:r w:rsidRPr="00793712">
        <w:rPr>
          <w:rFonts w:ascii="Times New Roman" w:hAnsi="Times New Roman" w:cs="Times New Roman"/>
        </w:rPr>
        <w:lastRenderedPageBreak/>
        <w:t>occurs at the incident level, then individual case characteristics drive outcomes and district-level interventions may have limited impact. Conversely, if substantial variation exists between districts after controlling for incident characteristics, this suggests that organizational factors—enforcement priorities, resource allocation, departmental culture—systematically shape who gets arrested and who does not.</w:t>
      </w:r>
    </w:p>
    <w:p w14:paraId="4212AAA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A simple comparison of average arrest rates across districts would be misleading. Such comparisons confound two distinct phenomena: compositional effects (districts differ in the types of crimes they encounter) and contextual effects (districts respond differently to similar crimes). Understanding different within and between effects is crucial when choosing modeling strategies. (</w:t>
      </w:r>
      <w:hyperlink w:anchor="ref-andrew2014">
        <w:r w:rsidRPr="00793712">
          <w:rPr>
            <w:rStyle w:val="Hyperlink"/>
            <w:rFonts w:ascii="Times New Roman" w:hAnsi="Times New Roman" w:cs="Times New Roman"/>
          </w:rPr>
          <w:t>Bell &amp; Jones, 2014</w:t>
        </w:r>
      </w:hyperlink>
      <w:r w:rsidRPr="00793712">
        <w:rPr>
          <w:rFonts w:ascii="Times New Roman" w:hAnsi="Times New Roman" w:cs="Times New Roman"/>
        </w:rPr>
        <w:t>) A district with high arrest rates might simply process more drug offenses, which carry inherently higher arrest probabilities, rather than being systematically "tougher" in its enforcement approach. Disentangling these effects requires multilevel statistical models that can partition variance across hierarchical levels and distinguish within-district from between-district patterns.</w:t>
      </w:r>
    </w:p>
    <w:p w14:paraId="6128E7DC"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This study employs hierarchical logistic regression—specifically, a three-level multilevel generalized linear mixed model—to analyze 2,757,357 crime incidents from 2015 to 2025 in Chicago. The analysis reveals that 7.87% of arrest variation is attributable to police district differences, 5.43% to community area differences, and 86.71% to individual incident characteristics. While incident-level factors dominate, the combined 13.3% of variation at higher levels represents substantial systematic differences in enforcement patterns across organizational units. Moreover, districts show remarkable heterogeneity in their approach to drug enforcement specifically, with random slope variance of 0.39 indicating that the relationship between drug crimes and arrest probability varies substantially across districts. Some "tough" districts enforce uniformly across crime types, while "lenient" districts appear more selective in their enforcement priorities.</w:t>
      </w:r>
    </w:p>
    <w:p w14:paraId="7953C90C"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These findings connect directly to core concepts in multilevel modeling: the importance of recognizing hierarchical data structures, the distinction between fixed and random effects, the calculation and interpretation of variance partition coefficients, and the critical difference between compositional and contextual effects. By applying these analytical tools to a pressing policy question, this study demonstrates how methodological sophistication can inform substantive understanding of enforcement disparities.</w:t>
      </w:r>
    </w:p>
    <w:p w14:paraId="1E54C14E" w14:textId="77777777" w:rsidR="001062E7" w:rsidRPr="00793712" w:rsidRDefault="00000000" w:rsidP="00793712">
      <w:pPr>
        <w:pStyle w:val="Heading2"/>
        <w:jc w:val="both"/>
        <w:rPr>
          <w:rFonts w:ascii="Times New Roman" w:hAnsi="Times New Roman" w:cs="Times New Roman"/>
        </w:rPr>
      </w:pPr>
      <w:r w:rsidRPr="00793712">
        <w:rPr>
          <w:rFonts w:ascii="Times New Roman" w:hAnsi="Times New Roman" w:cs="Times New Roman"/>
        </w:rPr>
        <w:t>Literature Review</w:t>
      </w:r>
    </w:p>
    <w:p w14:paraId="34888F0D"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Discretionary Enforcement and Policing Disparities</w:t>
      </w:r>
    </w:p>
    <w:p w14:paraId="75E4A4A9"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Police officers exercise considerable discretion in deciding whether to arrest, and this discretion has been consistently linked to disparities in criminal justice outcomes. Although racial discrimination emerges some of the time at some stages of criminal justice processing—such as juvenile justice—there is little evidence that racial disparities result from systematic, overt bias. Discrimination appears to be indirect, stemming from the amplification of initial disadvantages over time, along with the social construction of "moral panics" and associated political responses. (</w:t>
      </w:r>
      <w:hyperlink w:anchor="ref-robert1997">
        <w:r w:rsidRPr="00793712">
          <w:rPr>
            <w:rStyle w:val="Hyperlink"/>
            <w:rFonts w:ascii="Times New Roman" w:hAnsi="Times New Roman" w:cs="Times New Roman"/>
          </w:rPr>
          <w:t>Sampson &amp; Lauritsen, 1997</w:t>
        </w:r>
      </w:hyperlink>
      <w:r w:rsidRPr="00793712">
        <w:rPr>
          <w:rFonts w:ascii="Times New Roman" w:hAnsi="Times New Roman" w:cs="Times New Roman"/>
        </w:rPr>
        <w:t>) This suggests that disparities may emerge not from individual officer prejudice but from organizational patterns and policy choices that have disparate effects across communities.</w:t>
      </w:r>
    </w:p>
    <w:p w14:paraId="5F8DD769"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lastRenderedPageBreak/>
        <w:t>Research on stop-and-search practices illustrates how discretionary enforcement generates disparities. Consistent with preference-based discrimination, our baseline results demonstrate that officers are more likely to conduct a search if the race of the officer differs from the race of the driver. We then investigate and rule out two alternative explanations for our findings: race-based informational asymmetries between officers and the assignment of officers to neighborhoods. (</w:t>
      </w:r>
      <w:hyperlink w:anchor="ref-kate2004">
        <w:r w:rsidRPr="00793712">
          <w:rPr>
            <w:rStyle w:val="Hyperlink"/>
            <w:rFonts w:ascii="Times New Roman" w:hAnsi="Times New Roman" w:cs="Times New Roman"/>
          </w:rPr>
          <w:t>Antonovics &amp; Knight, 2004</w:t>
        </w:r>
      </w:hyperlink>
      <w:r w:rsidRPr="00793712">
        <w:rPr>
          <w:rFonts w:ascii="Times New Roman" w:hAnsi="Times New Roman" w:cs="Times New Roman"/>
        </w:rPr>
        <w:t>) Such findings suggest that individual officer characteristics interact with suspect characteristics to influence enforcement decisions in ways that cannot be explained by crime-relevant factors alone.</w:t>
      </w:r>
    </w:p>
    <w:p w14:paraId="5F8DC643"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geography of policing compounds these individual-level dynamics. Police spend 0.36% more time in neighborhoods for each percentage point increase in Black residents. This neighborhood-level disparity persists after controlling for density, socioeconomic status, and crime-driven demand for policing. Patterns of police presence statistically explain 57% of the higher arrest rate in more Black neighborhoods. (</w:t>
      </w:r>
      <w:hyperlink w:anchor="ref-m2023">
        <w:r w:rsidRPr="00793712">
          <w:rPr>
            <w:rStyle w:val="Hyperlink"/>
            <w:rFonts w:ascii="Times New Roman" w:hAnsi="Times New Roman" w:cs="Times New Roman"/>
          </w:rPr>
          <w:t>Chen et al., 2023</w:t>
        </w:r>
      </w:hyperlink>
      <w:r w:rsidRPr="00793712">
        <w:rPr>
          <w:rFonts w:ascii="Times New Roman" w:hAnsi="Times New Roman" w:cs="Times New Roman"/>
        </w:rPr>
        <w:t>) This finding underscores the importance of examining place-based variation in enforcement, as differential police presence creates differential opportunities for enforcement action regardless of underlying crime rates.</w:t>
      </w:r>
    </w:p>
    <w:p w14:paraId="5CFBE07D"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consequences of enforcement disparities extend throughout the criminal justice system. Bail and pretrial detention decisions may have important consequences for racial disparities in incarceration rates. Poor minority defendants who are unable to post bail and get released from jail before trial may be more likely to plead guilty and accept longer sentences of incarceration. (</w:t>
      </w:r>
      <w:hyperlink w:anchor="ref-ellen2018">
        <w:r w:rsidRPr="00793712">
          <w:rPr>
            <w:rStyle w:val="Hyperlink"/>
            <w:rFonts w:ascii="Times New Roman" w:hAnsi="Times New Roman" w:cs="Times New Roman"/>
          </w:rPr>
          <w:t>Donnelly &amp; MacDonald, 2018</w:t>
        </w:r>
      </w:hyperlink>
      <w:r w:rsidRPr="00793712">
        <w:rPr>
          <w:rFonts w:ascii="Times New Roman" w:hAnsi="Times New Roman" w:cs="Times New Roman"/>
        </w:rPr>
        <w:t>) Because arrest initiates this cascade of consequences, understanding the sources of arrest variation is essential for addressing downstream disparities.</w:t>
      </w:r>
    </w:p>
    <w:p w14:paraId="45E007AE"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Drug enforcement has emerged as a particularly consequential domain of discretionary policing. The unequal enforcement of drug laws is a source of profound racial injustice. Drug law enforcement is driving racial disparities throughout the criminal justice system in England and Wales. (</w:t>
      </w:r>
      <w:hyperlink w:anchor="ref-michael2018">
        <w:r w:rsidRPr="00793712">
          <w:rPr>
            <w:rStyle w:val="Hyperlink"/>
            <w:rFonts w:ascii="Times New Roman" w:hAnsi="Times New Roman" w:cs="Times New Roman"/>
          </w:rPr>
          <w:t>Shiner et al., 2018</w:t>
        </w:r>
      </w:hyperlink>
      <w:r w:rsidRPr="00793712">
        <w:rPr>
          <w:rFonts w:ascii="Times New Roman" w:hAnsi="Times New Roman" w:cs="Times New Roman"/>
        </w:rPr>
        <w:t>) Similar patterns characterize American policing, where the War on Drugs has concentrated enforcement resources in ways that disproportionately affect minority communities. The "drug war" of the 1980s and 1990s exacerbated the disproportionate representation of blacks in state and federal prisons. (</w:t>
      </w:r>
      <w:hyperlink w:anchor="ref-robert1997">
        <w:r w:rsidRPr="00793712">
          <w:rPr>
            <w:rStyle w:val="Hyperlink"/>
            <w:rFonts w:ascii="Times New Roman" w:hAnsi="Times New Roman" w:cs="Times New Roman"/>
          </w:rPr>
          <w:t>Sampson &amp; Lauritsen, 1997</w:t>
        </w:r>
      </w:hyperlink>
      <w:r w:rsidRPr="00793712">
        <w:rPr>
          <w:rFonts w:ascii="Times New Roman" w:hAnsi="Times New Roman" w:cs="Times New Roman"/>
        </w:rPr>
        <w:t>)</w:t>
      </w:r>
    </w:p>
    <w:p w14:paraId="3E938A1C"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Organizational Theory and Enforcement Variation</w:t>
      </w:r>
    </w:p>
    <w:p w14:paraId="3D261D3A"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Police departments are complex organizations with distinct cultures, priorities, and operational constraints that shape enforcement patterns. Policing and punishment are unevenly distributed across geographic space. Research analyzing place-based variation in the criminal legal system is increasing, asking how community conditions contribute to variation in criminal justice outcomes. (</w:t>
      </w:r>
      <w:hyperlink w:anchor="ref-jessica2023">
        <w:r w:rsidRPr="00793712">
          <w:rPr>
            <w:rStyle w:val="Hyperlink"/>
            <w:rFonts w:ascii="Times New Roman" w:hAnsi="Times New Roman" w:cs="Times New Roman"/>
          </w:rPr>
          <w:t>Simes et al., 2023</w:t>
        </w:r>
      </w:hyperlink>
      <w:r w:rsidRPr="00793712">
        <w:rPr>
          <w:rFonts w:ascii="Times New Roman" w:hAnsi="Times New Roman" w:cs="Times New Roman"/>
        </w:rPr>
        <w:t>) This spatial-contextual perspective recognizes that enforcement outcomes reflect not just individual decisions but organizational and community-level factors that structure those decisions.</w:t>
      </w:r>
    </w:p>
    <w:p w14:paraId="7A3C17BA"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Different organizational approaches to policing produce systematically different enforcement patterns. The Service-Legalistic scale measures police discretion along a flexible-inflexible continuum. Service-oriented police advocate the use of discretion to help solve social problems; legalistic police oppose discretion because it interferes with their duty to enforce the law equitably. (</w:t>
      </w:r>
      <w:hyperlink w:anchor="ref-richard2003">
        <w:r w:rsidRPr="00793712">
          <w:rPr>
            <w:rStyle w:val="Hyperlink"/>
            <w:rFonts w:ascii="Times New Roman" w:hAnsi="Times New Roman" w:cs="Times New Roman"/>
          </w:rPr>
          <w:t>Wortley, 2003</w:t>
        </w:r>
      </w:hyperlink>
      <w:r w:rsidRPr="00793712">
        <w:rPr>
          <w:rFonts w:ascii="Times New Roman" w:hAnsi="Times New Roman" w:cs="Times New Roman"/>
        </w:rPr>
        <w:t xml:space="preserve">) These organizational orientations—what Wilson famously termed </w:t>
      </w:r>
      <w:r w:rsidRPr="00793712">
        <w:rPr>
          <w:rFonts w:ascii="Times New Roman" w:hAnsi="Times New Roman" w:cs="Times New Roman"/>
        </w:rPr>
        <w:lastRenderedPageBreak/>
        <w:t>"varieties of police behavior"—create persistent differences in how departments and districts approach enforcement, differences that transcend individual officer characteristics.</w:t>
      </w:r>
    </w:p>
    <w:p w14:paraId="6E673CB8"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Policing principles shape the police mission and how officers perceive their relationship to the public, which affect in turn officers' decisions and actions. (</w:t>
      </w:r>
      <w:hyperlink w:anchor="ref-seth2016">
        <w:r w:rsidRPr="00793712">
          <w:rPr>
            <w:rStyle w:val="Hyperlink"/>
            <w:rFonts w:ascii="Times New Roman" w:hAnsi="Times New Roman" w:cs="Times New Roman"/>
          </w:rPr>
          <w:t>Stoughton, 2016</w:t>
        </w:r>
      </w:hyperlink>
      <w:r w:rsidRPr="00793712">
        <w:rPr>
          <w:rFonts w:ascii="Times New Roman" w:hAnsi="Times New Roman" w:cs="Times New Roman"/>
        </w:rPr>
        <w:t>) Whether officers conceive of themselves as "warriors" combating crime or "guardians" protecting communities has profound implications for when and how they exercise arrest authority. These cultural orientations are shaped by organizational leadership, training, and accountability structures that vary across departments and even across districts within the same department.</w:t>
      </w:r>
    </w:p>
    <w:p w14:paraId="09914C51"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tension between accountability and discretion shapes organizational enforcement cultures. Police, like other bureaucratic agencies, are responsible for collecting and disseminating policy-relevant data. Nonetheless, critical data, including killings by police, often go unreported. We argue that this is due in part to the limited oversight capacity of legislative bodies to whom police are accountable. (</w:t>
      </w:r>
      <w:hyperlink w:anchor="ref-scott2022">
        <w:r w:rsidRPr="00793712">
          <w:rPr>
            <w:rStyle w:val="Hyperlink"/>
            <w:rFonts w:ascii="Times New Roman" w:hAnsi="Times New Roman" w:cs="Times New Roman"/>
          </w:rPr>
          <w:t>Cook &amp; Fortunato, 2022</w:t>
        </w:r>
      </w:hyperlink>
      <w:r w:rsidRPr="00793712">
        <w:rPr>
          <w:rFonts w:ascii="Times New Roman" w:hAnsi="Times New Roman" w:cs="Times New Roman"/>
        </w:rPr>
        <w:t>) Where oversight is weak, greater discretion may lead to greater variation in enforcement patterns, as individual officers and units develop their own approaches without systematic review.</w:t>
      </w:r>
    </w:p>
    <w:p w14:paraId="26298171"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Resource constraints force organizational trade-offs that shape enforcement priorities. The appeal of focusing limited resources on a small number of high-activity crime places is straightforward. If crime can be prevented at these hot spots, then citywide crime totals could be reduced. (</w:t>
      </w:r>
      <w:hyperlink w:anchor="ref-anthony2019">
        <w:r w:rsidRPr="00793712">
          <w:rPr>
            <w:rStyle w:val="Hyperlink"/>
            <w:rFonts w:ascii="Times New Roman" w:hAnsi="Times New Roman" w:cs="Times New Roman"/>
          </w:rPr>
          <w:t>Braga et al., 2019</w:t>
        </w:r>
      </w:hyperlink>
      <w:r w:rsidRPr="00793712">
        <w:rPr>
          <w:rFonts w:ascii="Times New Roman" w:hAnsi="Times New Roman" w:cs="Times New Roman"/>
        </w:rPr>
        <w:t>) However, such strategic choices about where to concentrate enforcement inevitably create geographic variation in arrest probabilities. A crime committed in a designated hot spot may be far more likely to result in arrest than an identical crime committed elsewhere, not because of the crime itself but because of organizational resource allocation decisions.</w:t>
      </w:r>
    </w:p>
    <w:p w14:paraId="21578081"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Multilevel analysis reveals that organizational factors operate at multiple scales simultaneously. A geographically-resolved, multi-level Bayesian model is used to analyze the data in order to investigate the extent of racial bias in the shooting of American civilians by police officers. The results of multi-level modeling show that there exists significant heterogeneity across counties in the extent of racial bias in police shootings, with some counties showing relative risk ratios of 20 to 1 or more. (</w:t>
      </w:r>
      <w:hyperlink w:anchor="ref-cody2015">
        <w:r w:rsidRPr="00793712">
          <w:rPr>
            <w:rStyle w:val="Hyperlink"/>
            <w:rFonts w:ascii="Times New Roman" w:hAnsi="Times New Roman" w:cs="Times New Roman"/>
          </w:rPr>
          <w:t>Ross, 2015</w:t>
        </w:r>
      </w:hyperlink>
      <w:r w:rsidRPr="00793712">
        <w:rPr>
          <w:rFonts w:ascii="Times New Roman" w:hAnsi="Times New Roman" w:cs="Times New Roman"/>
        </w:rPr>
        <w:t>) This heterogeneity across organizational units—whether counties, departments, or districts—suggests that place-based organizational factors substantially influence enforcement outcomes.</w:t>
      </w:r>
    </w:p>
    <w:p w14:paraId="34E98E09"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Crime-Type Differences in Enforcement</w:t>
      </w:r>
    </w:p>
    <w:p w14:paraId="7EFAB972"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Different categories of crime elicit systematically different enforcement responses, reflecting both the inherent characteristics of offenses and policy choices about enforcement priorities. Drug and vice crimes represent a distinctive enforcement domain where arrest rates tend to be particularly high. Proactive policing of consensual illicit behaviour is associated with an increased ethnic disparity when number of sanctions increase. (</w:t>
      </w:r>
      <w:hyperlink w:anchor="ref-kim2010">
        <w:r w:rsidRPr="00793712">
          <w:rPr>
            <w:rStyle w:val="Hyperlink"/>
            <w:rFonts w:ascii="Times New Roman" w:hAnsi="Times New Roman" w:cs="Times New Roman"/>
          </w:rPr>
          <w:t>Møller, 2010</w:t>
        </w:r>
      </w:hyperlink>
      <w:r w:rsidRPr="00793712">
        <w:rPr>
          <w:rFonts w:ascii="Times New Roman" w:hAnsi="Times New Roman" w:cs="Times New Roman"/>
        </w:rPr>
        <w:t>) Because drug offenses often lack complaining victims and are detected primarily through proactive police activity, arrest rates for such crimes reflect enforcement priorities more than underlying offense rates.</w:t>
      </w:r>
    </w:p>
    <w:p w14:paraId="73A943DF"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Violent crimes present different enforcement challenges related to victim cooperation and evidence requirements. Our analysis shows that the magnitude and direction of the racial </w:t>
      </w:r>
      <w:r w:rsidRPr="00793712">
        <w:rPr>
          <w:rFonts w:ascii="Times New Roman" w:hAnsi="Times New Roman" w:cs="Times New Roman"/>
        </w:rPr>
        <w:lastRenderedPageBreak/>
        <w:t>disparities depend on various characteristics of the crimes. In addition, our investigation reveals large variations in arrest rates across geographical locations and offense types. (</w:t>
      </w:r>
      <w:hyperlink w:anchor="ref-riccardo2021">
        <w:r w:rsidRPr="00793712">
          <w:rPr>
            <w:rStyle w:val="Hyperlink"/>
            <w:rFonts w:ascii="Times New Roman" w:hAnsi="Times New Roman" w:cs="Times New Roman"/>
          </w:rPr>
          <w:t>Fogliato et al., 2021</w:t>
        </w:r>
      </w:hyperlink>
      <w:r w:rsidRPr="00793712">
        <w:rPr>
          <w:rFonts w:ascii="Times New Roman" w:hAnsi="Times New Roman" w:cs="Times New Roman"/>
        </w:rPr>
        <w:t>) The presence of an identifiable victim who can provide testimony affects both the likelihood of detection and the probability of arrest conditional on detection, creating systematic differences across crime categories.</w:t>
      </w:r>
    </w:p>
    <w:p w14:paraId="3F9DACC9"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Property crimes are frequently deprioritized due to resource constraints and prosecution challenges. Problem-oriented policing (POP) was developed to focus police on more proactively addressing chronic problems, rather than using traditional reactive efforts. POP has been utilized to target a wide range of problems and has become commonly used in agencies across the United States and the world, although implementation is often uneven. (</w:t>
      </w:r>
      <w:hyperlink w:anchor="ref-joshua2020">
        <w:r w:rsidRPr="00793712">
          <w:rPr>
            <w:rStyle w:val="Hyperlink"/>
            <w:rFonts w:ascii="Times New Roman" w:hAnsi="Times New Roman" w:cs="Times New Roman"/>
          </w:rPr>
          <w:t>Hinkle et al., 2020</w:t>
        </w:r>
      </w:hyperlink>
      <w:r w:rsidRPr="00793712">
        <w:rPr>
          <w:rFonts w:ascii="Times New Roman" w:hAnsi="Times New Roman" w:cs="Times New Roman"/>
        </w:rPr>
        <w:t>) When departments adopt problem-oriented or hot-spots approaches, they necessarily make trade-offs that may reduce attention to property crimes in favor of violent or drug offenses.</w:t>
      </w:r>
    </w:p>
    <w:p w14:paraId="1EFA6EB7"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Domestic violence enforcement has been transformed by mandatory arrest policies. To eliminate police inaction in response to domestic violence, many states have passed mandatory arrest laws, which require the police to arrest abusers when a domestic violence incident is reported. (</w:t>
      </w:r>
      <w:hyperlink w:anchor="ref-radha2007">
        <w:r w:rsidRPr="00793712">
          <w:rPr>
            <w:rStyle w:val="Hyperlink"/>
            <w:rFonts w:ascii="Times New Roman" w:hAnsi="Times New Roman" w:cs="Times New Roman"/>
          </w:rPr>
          <w:t>Iyengar, 2007</w:t>
        </w:r>
      </w:hyperlink>
      <w:r w:rsidRPr="00793712">
        <w:rPr>
          <w:rFonts w:ascii="Times New Roman" w:hAnsi="Times New Roman" w:cs="Times New Roman"/>
        </w:rPr>
        <w:t>) These policies represent explicit attempts to constrain officer discretion in response to evidence that discretionary enforcement was inadequate. The results suggest that, in domestic violence cases, mandatory arrest policies predict arrest and modestly reduce the significance of race as a predictor of arrest. The results are interpreted as supporting a constrained rational model of policing. (</w:t>
      </w:r>
      <w:hyperlink w:anchor="ref-david2005">
        <w:r w:rsidRPr="00793712">
          <w:rPr>
            <w:rStyle w:val="Hyperlink"/>
            <w:rFonts w:ascii="Times New Roman" w:hAnsi="Times New Roman" w:cs="Times New Roman"/>
          </w:rPr>
          <w:t>Eitle, 2005</w:t>
        </w:r>
      </w:hyperlink>
      <w:r w:rsidRPr="00793712">
        <w:rPr>
          <w:rFonts w:ascii="Times New Roman" w:hAnsi="Times New Roman" w:cs="Times New Roman"/>
        </w:rPr>
        <w:t>) This finding illustrates how organizational policy can shape enforcement patterns by constraining discretion.</w:t>
      </w:r>
    </w:p>
    <w:p w14:paraId="08763834"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Temporal patterns also affect enforcement capacity and outcomes. We find significant dependence of crime on time of year, holidays, and weekdays. We find that dependence of aggressive crime on temperature depends on the hour of the day, and whether it takes place outside or inside. (</w:t>
      </w:r>
      <w:hyperlink w:anchor="ref-sherry2018">
        <w:r w:rsidRPr="00793712">
          <w:rPr>
            <w:rStyle w:val="Hyperlink"/>
            <w:rFonts w:ascii="Times New Roman" w:hAnsi="Times New Roman" w:cs="Times New Roman"/>
          </w:rPr>
          <w:t>Towers et al., 2018</w:t>
        </w:r>
      </w:hyperlink>
      <w:r w:rsidRPr="00793712">
        <w:rPr>
          <w:rFonts w:ascii="Times New Roman" w:hAnsi="Times New Roman" w:cs="Times New Roman"/>
        </w:rPr>
        <w:t>) Beyond affecting crime occurrence, time of day influences police staffing levels, investigative capacity, and the availability of support services, all of which may affect arrest probabilities. Crimes occurring during off-peak hours may face different enforcement responses due to reduced staffing or the unavailability of specialized units.</w:t>
      </w:r>
    </w:p>
    <w:p w14:paraId="3A56CE93"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Within-Between Decomposition and Contextual Effects</w:t>
      </w:r>
    </w:p>
    <w:p w14:paraId="2F3FB346"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A fundamental challenge in analyzing enforcement disparities is distinguishing compositional effects—differences in who or what is being policed—from contextual effects—differences in how similar cases are treated across contexts. This article challenges Fixed Effects (FE) modeling as the 'default' for time-series-cross-sectional and panel data. The downside of Random Effects (RE) modeling—correlated lower-level covariates and higher-level residuals—is omitted-variable bias, solvable with Mundlak's (1978a) formulation. Consequently, RE can provide everything that FE promises and more. (</w:t>
      </w:r>
      <w:hyperlink w:anchor="ref-andrew2014">
        <w:r w:rsidRPr="00793712">
          <w:rPr>
            <w:rStyle w:val="Hyperlink"/>
            <w:rFonts w:ascii="Times New Roman" w:hAnsi="Times New Roman" w:cs="Times New Roman"/>
          </w:rPr>
          <w:t>Bell &amp; Jones, 2014</w:t>
        </w:r>
      </w:hyperlink>
      <w:r w:rsidRPr="00793712">
        <w:rPr>
          <w:rFonts w:ascii="Times New Roman" w:hAnsi="Times New Roman" w:cs="Times New Roman"/>
        </w:rPr>
        <w:t>)</w:t>
      </w:r>
    </w:p>
    <w:p w14:paraId="39CD3E0D"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Mundlak-Fairbrother approach to within-between decomposition provides a powerful tool for disentangling these effects. By including both individual-level predictors and their group means in the same model, researchers can estimate separate within-group and between-group effects. In the policing context, this allows researchers to ask: controlling for the types of crimes a district handles, do districts differ in their arrest rates? And conversely: holding district constant, how do case characteristics predict arrest?</w:t>
      </w:r>
    </w:p>
    <w:p w14:paraId="11D2465A"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lastRenderedPageBreak/>
        <w:t>This distinction has profound policy implications. The results of a series of multivariate regression models indicate that impulsivity is positively associated with self-reported violence, and that this relationship is strongest among youth living in disadvantaged neighborhoods. The moderating effect of neighborhood disadvantage can be attributed primarily to the stronger effect of impulsivity on violence in these areas, while differences in average levels of violence and impulsivity account for a smaller, yet nontrivial portion of the observed relationship. (</w:t>
      </w:r>
      <w:hyperlink w:anchor="ref-matt2017">
        <w:r w:rsidRPr="00793712">
          <w:rPr>
            <w:rStyle w:val="Hyperlink"/>
            <w:rFonts w:ascii="Times New Roman" w:hAnsi="Times New Roman" w:cs="Times New Roman"/>
          </w:rPr>
          <w:t>Vogel &amp; Ham, 2017</w:t>
        </w:r>
      </w:hyperlink>
      <w:r w:rsidRPr="00793712">
        <w:rPr>
          <w:rFonts w:ascii="Times New Roman" w:hAnsi="Times New Roman" w:cs="Times New Roman"/>
        </w:rPr>
        <w:t>) Similarly, in policing contexts, district-level variation in arrest outcomes may reflect either different compositions of cases or genuinely different enforcement approaches—and understanding which predominates is essential for designing effective interventions.</w:t>
      </w:r>
    </w:p>
    <w:p w14:paraId="4AE1A510"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Useful research would emphasize multilevel (contextual) designs, the idea of "cumulative disadvantage" over the life course, the need for multiracial conceptualizations, and comparative, cross-national designs. (</w:t>
      </w:r>
      <w:hyperlink w:anchor="ref-robert1997">
        <w:r w:rsidRPr="00793712">
          <w:rPr>
            <w:rStyle w:val="Hyperlink"/>
            <w:rFonts w:ascii="Times New Roman" w:hAnsi="Times New Roman" w:cs="Times New Roman"/>
          </w:rPr>
          <w:t>Sampson &amp; Lauritsen, 1997</w:t>
        </w:r>
      </w:hyperlink>
      <w:r w:rsidRPr="00793712">
        <w:rPr>
          <w:rFonts w:ascii="Times New Roman" w:hAnsi="Times New Roman" w:cs="Times New Roman"/>
        </w:rPr>
        <w:t>) Multilevel contextual designs are particularly appropriate for studying criminal justice outcomes because the system itself is hierarchically organized: incidents occur within neighborhoods, neighborhoods are policed by districts, and districts operate within departments.</w:t>
      </w:r>
    </w:p>
    <w:p w14:paraId="4D8643C2"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Multilevel Models in Criminal Justice Research</w:t>
      </w:r>
    </w:p>
    <w:p w14:paraId="32E2475D"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The hierarchical structure of criminal justice data makes multilevel modeling essential for valid inference. Understanding how nested data structures and data with repeated measures work enables researchers and managers to define several types of constructs from which multilevel models can be used. (</w:t>
      </w:r>
      <w:hyperlink w:anchor="ref-joseph2019">
        <w:r w:rsidRPr="00793712">
          <w:rPr>
            <w:rStyle w:val="Hyperlink"/>
            <w:rFonts w:ascii="Times New Roman" w:hAnsi="Times New Roman" w:cs="Times New Roman"/>
          </w:rPr>
          <w:t>Hair &amp; Fávero, 2019</w:t>
        </w:r>
      </w:hyperlink>
      <w:r w:rsidRPr="00793712">
        <w:rPr>
          <w:rFonts w:ascii="Times New Roman" w:hAnsi="Times New Roman" w:cs="Times New Roman"/>
        </w:rPr>
        <w:t>) When incidents are nested within communities, and communities within police districts, observations within the same higher-level unit are not independent. Standard regression methods that ignore this clustering produce biased standard errors and potentially misleading inferences.</w:t>
      </w:r>
    </w:p>
    <w:p w14:paraId="2DD8851E"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A first step when fitting multilevel models to continuous responses is to explore the degree of clustering in the data. Researchers fit variance-component models and then report the proportion of variation in the response that is due to systematic differences between clusters. Equally they report the response correlation between units within a cluster. These statistics are popularly referred to as variance partition coefficients (VPCs) and intraclass correlation coefficients (ICCs). (</w:t>
      </w:r>
      <w:hyperlink w:anchor="ref-george2020">
        <w:r w:rsidRPr="00793712">
          <w:rPr>
            <w:rStyle w:val="Hyperlink"/>
            <w:rFonts w:ascii="Times New Roman" w:hAnsi="Times New Roman" w:cs="Times New Roman"/>
          </w:rPr>
          <w:t>Leckie et al., 2020</w:t>
        </w:r>
      </w:hyperlink>
      <w:r w:rsidRPr="00793712">
        <w:rPr>
          <w:rFonts w:ascii="Times New Roman" w:hAnsi="Times New Roman" w:cs="Times New Roman"/>
        </w:rPr>
        <w:t>) For binary outcomes like arrest, calculating these statistics requires additional considerations related to the latent response formulation of logistic regression, but the underlying logic remains: quantifying how much variation occurs at each level of the hierarchy.</w:t>
      </w:r>
    </w:p>
    <w:p w14:paraId="66778A91"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Multilevel models offer several advantages beyond correctly partitioning variance. Random intercepts allow each higher-level unit to have its own baseline, capturing systematic differences across units. Random slopes allow relationships between predictors and outcomes to vary across units, capturing heterogeneity in how different contexts respond to the same factors. As well as incorporating time-invariant variables, RE models are readily extendable, with random coefficients, cross-level interactions and complex variance functions. (</w:t>
      </w:r>
      <w:hyperlink w:anchor="ref-andrew2014">
        <w:r w:rsidRPr="00793712">
          <w:rPr>
            <w:rStyle w:val="Hyperlink"/>
            <w:rFonts w:ascii="Times New Roman" w:hAnsi="Times New Roman" w:cs="Times New Roman"/>
          </w:rPr>
          <w:t>Bell &amp; Jones, 2014</w:t>
        </w:r>
      </w:hyperlink>
      <w:r w:rsidRPr="00793712">
        <w:rPr>
          <w:rFonts w:ascii="Times New Roman" w:hAnsi="Times New Roman" w:cs="Times New Roman"/>
        </w:rPr>
        <w:t>)</w:t>
      </w:r>
    </w:p>
    <w:p w14:paraId="130BBF2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application of multilevel methods to criminal justice questions has grown substantially. The concept of institutional racism re-emerged in political discourse in the late 1990s after a long hiatus. This paper notes the ambiguities and contradictions of the concept and argues for its retention, but only within a multilevel framework that incorporates racialisations operating at the micro, meso and macro levels. (</w:t>
      </w:r>
      <w:hyperlink w:anchor="ref-coretta2010">
        <w:r w:rsidRPr="00793712">
          <w:rPr>
            <w:rStyle w:val="Hyperlink"/>
            <w:rFonts w:ascii="Times New Roman" w:hAnsi="Times New Roman" w:cs="Times New Roman"/>
          </w:rPr>
          <w:t>Phillips, 2010</w:t>
        </w:r>
      </w:hyperlink>
      <w:r w:rsidRPr="00793712">
        <w:rPr>
          <w:rFonts w:ascii="Times New Roman" w:hAnsi="Times New Roman" w:cs="Times New Roman"/>
        </w:rPr>
        <w:t xml:space="preserve">) This perspective recognizes that disparities </w:t>
      </w:r>
      <w:r w:rsidRPr="00793712">
        <w:rPr>
          <w:rFonts w:ascii="Times New Roman" w:hAnsi="Times New Roman" w:cs="Times New Roman"/>
        </w:rPr>
        <w:lastRenderedPageBreak/>
        <w:t>emerge from processes operating at multiple scales simultaneously—individual decisions, organizational cultures, community contexts, and structural arrangements—and that understanding their relative contributions requires appropriately specified multilevel models.</w:t>
      </w:r>
    </w:p>
    <w:p w14:paraId="44B048C1"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Simple comparisons of average outcomes across groups—whether racial groups, geographic units, or organizational units—can be profoundly misleading. Racial threat theory was developed as a way to explain how population composition influences discriminatory social control practices and has become one of the most acknowledged frameworks for explaining racial disparity in criminal justice outcomes. This paper provides a thorough review of racial threat theory and demonstrates that while scholars often cite inconsistent support for the theory, empirical discrepancies may be due to insufficient attention to the conceptual complexity of racial threat. (</w:t>
      </w:r>
      <w:hyperlink w:anchor="ref-cindy2014">
        <w:r w:rsidRPr="00793712">
          <w:rPr>
            <w:rStyle w:val="Hyperlink"/>
            <w:rFonts w:ascii="Times New Roman" w:hAnsi="Times New Roman" w:cs="Times New Roman"/>
          </w:rPr>
          <w:t>Dollar, 2014</w:t>
        </w:r>
      </w:hyperlink>
      <w:r w:rsidRPr="00793712">
        <w:rPr>
          <w:rFonts w:ascii="Times New Roman" w:hAnsi="Times New Roman" w:cs="Times New Roman"/>
        </w:rPr>
        <w:t>) Multilevel models provide the methodological infrastructure to test such theories rigorously by distinguishing individual-level, contextual, and cross-level interaction effects.</w:t>
      </w:r>
    </w:p>
    <w:p w14:paraId="39E3DFF1" w14:textId="77777777" w:rsidR="001062E7" w:rsidRPr="00793712" w:rsidRDefault="00000000" w:rsidP="00793712">
      <w:pPr>
        <w:pStyle w:val="Heading3"/>
        <w:jc w:val="both"/>
        <w:rPr>
          <w:rFonts w:ascii="Times New Roman" w:hAnsi="Times New Roman" w:cs="Times New Roman"/>
        </w:rPr>
      </w:pPr>
      <w:r w:rsidRPr="00793712">
        <w:rPr>
          <w:rFonts w:ascii="Times New Roman" w:hAnsi="Times New Roman" w:cs="Times New Roman"/>
        </w:rPr>
        <w:t>Positioning the Current Study</w:t>
      </w:r>
    </w:p>
    <w:p w14:paraId="7612F37E"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This study addresses a significant gap in the literature by applying multilevel methods to partition variance in arrest outcomes across incidents, community areas, and police districts in a major American city. While prior research has documented disparities in enforcement outcomes, few studies have simultaneously examined multiple levels of the criminal justice hierarchy while distinguishing compositional from contextual effects. Research analyzing place-based variation in the criminal legal system is increasing, asking how community conditions contribute to variation in criminal justice outcomes and how multiple criminal justice exposures (e.g., policing and punishment) vary together in places. (</w:t>
      </w:r>
      <w:hyperlink w:anchor="ref-jessica2023">
        <w:r w:rsidRPr="00793712">
          <w:rPr>
            <w:rStyle w:val="Hyperlink"/>
            <w:rFonts w:ascii="Times New Roman" w:hAnsi="Times New Roman" w:cs="Times New Roman"/>
          </w:rPr>
          <w:t>Simes et al., 2023</w:t>
        </w:r>
      </w:hyperlink>
      <w:r w:rsidRPr="00793712">
        <w:rPr>
          <w:rFonts w:ascii="Times New Roman" w:hAnsi="Times New Roman" w:cs="Times New Roman"/>
        </w:rPr>
        <w:t>) However, this research has faced challenges including an overemphasis on large cities analyzed discretely and insufficient attention to the nested structure of criminal justice organizations.</w:t>
      </w:r>
    </w:p>
    <w:p w14:paraId="50142BE6"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By employing a three-level hierarchical logistic regression model with both random intercepts and random slopes, this study can address questions that simpler methods cannot: What proportion of arrest variation is attributable to each level of the hierarchy? Do districts differ in their overall arrest propensity after controlling for case characteristics? Do districts differ in how they respond to specific crime types, particularly drug offenses? And can observed district-level variation be explained by differences in crime composition (compositional effects) or do genuine contextual effects persist?</w:t>
      </w:r>
    </w:p>
    <w:p w14:paraId="30E4EB73"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The findings reveal that while incident-level characteristics explain the majority of arrest variation—with vice/drug crimes showing dramatically elevated arrest odds and property crimes showing substantially reduced odds—significant variation remains at the district level that cannot be attributed to crime composition alone. Districts develop distinct enforcement cultures that shape outcomes in ways that transcend the cases they handle. These findings have implications for both criminal justice theory and police reform, suggesting that organizational-level interventions may be necessary to address enforcement disparities.</w:t>
      </w:r>
    </w:p>
    <w:p w14:paraId="59296CE6"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The methodological approach employed here—progressive model building from empty models through random intercepts to random slopes, variance partition coefficient calculation, and within-between decomposition—demonstrates the application of core multilevel modeling concepts to a substantively important policy question. By connecting methodological </w:t>
      </w:r>
      <w:r w:rsidRPr="00793712">
        <w:rPr>
          <w:rFonts w:ascii="Times New Roman" w:hAnsi="Times New Roman" w:cs="Times New Roman"/>
        </w:rPr>
        <w:lastRenderedPageBreak/>
        <w:t>sophistication to pressing questions about policing equity, this study illustrates how quantitative methods can inform both scholarly understanding and practical reform efforts aimed at ensuring that similarly situated individuals receive similar treatment regardless of where they encounter the criminal justice system.</w:t>
      </w:r>
    </w:p>
    <w:p w14:paraId="60A5BEB9" w14:textId="1C082FEB" w:rsidR="001062E7" w:rsidRPr="00793712" w:rsidRDefault="001062E7" w:rsidP="00793712">
      <w:pPr>
        <w:jc w:val="both"/>
        <w:rPr>
          <w:rFonts w:ascii="Times New Roman" w:hAnsi="Times New Roman" w:cs="Times New Roman"/>
        </w:rPr>
      </w:pPr>
    </w:p>
    <w:p w14:paraId="5192A4F5" w14:textId="77777777" w:rsidR="001062E7" w:rsidRPr="00793712" w:rsidRDefault="00000000" w:rsidP="00793712">
      <w:pPr>
        <w:pStyle w:val="Heading2"/>
        <w:jc w:val="both"/>
        <w:rPr>
          <w:rFonts w:ascii="Times New Roman" w:hAnsi="Times New Roman" w:cs="Times New Roman"/>
        </w:rPr>
      </w:pPr>
      <w:r w:rsidRPr="00793712">
        <w:rPr>
          <w:rFonts w:ascii="Times New Roman" w:hAnsi="Times New Roman" w:cs="Times New Roman"/>
        </w:rPr>
        <w:t>References</w:t>
      </w:r>
    </w:p>
    <w:p w14:paraId="01CF3E79" w14:textId="77777777" w:rsidR="001062E7" w:rsidRPr="00793712" w:rsidRDefault="00000000" w:rsidP="00793712">
      <w:pPr>
        <w:pStyle w:val="FirstParagraph"/>
        <w:jc w:val="both"/>
        <w:rPr>
          <w:rFonts w:ascii="Times New Roman" w:hAnsi="Times New Roman" w:cs="Times New Roman"/>
        </w:rPr>
      </w:pPr>
      <w:r w:rsidRPr="00793712">
        <w:rPr>
          <w:rFonts w:ascii="Times New Roman" w:hAnsi="Times New Roman" w:cs="Times New Roman"/>
        </w:rPr>
        <w:t xml:space="preserve">Antonovics, K., &amp; Knight, B. (2004). A new look at racial profiling: Evidence from the boston police department. </w:t>
      </w:r>
      <w:r w:rsidRPr="00793712">
        <w:rPr>
          <w:rFonts w:ascii="Times New Roman" w:hAnsi="Times New Roman" w:cs="Times New Roman"/>
          <w:i/>
          <w:iCs/>
        </w:rPr>
        <w:t>National Bureau of Economic Research</w:t>
      </w:r>
      <w:r w:rsidRPr="00793712">
        <w:rPr>
          <w:rFonts w:ascii="Times New Roman" w:hAnsi="Times New Roman" w:cs="Times New Roman"/>
        </w:rPr>
        <w:t xml:space="preserve">. </w:t>
      </w:r>
      <w:hyperlink r:id="rId5">
        <w:r w:rsidRPr="00793712">
          <w:rPr>
            <w:rStyle w:val="Hyperlink"/>
            <w:rFonts w:ascii="Times New Roman" w:hAnsi="Times New Roman" w:cs="Times New Roman"/>
          </w:rPr>
          <w:t>https://doi.org/10.3386/w10634</w:t>
        </w:r>
      </w:hyperlink>
    </w:p>
    <w:p w14:paraId="069C57EA"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Bell, A., &amp; Jones, K. (2014). Explaining fixed effects: Random effects modeling of time-series cross-sectional and panel data. </w:t>
      </w:r>
      <w:r w:rsidRPr="00793712">
        <w:rPr>
          <w:rFonts w:ascii="Times New Roman" w:hAnsi="Times New Roman" w:cs="Times New Roman"/>
          <w:i/>
          <w:iCs/>
        </w:rPr>
        <w:t>Political Science Research and Methods</w:t>
      </w:r>
      <w:r w:rsidRPr="00793712">
        <w:rPr>
          <w:rFonts w:ascii="Times New Roman" w:hAnsi="Times New Roman" w:cs="Times New Roman"/>
        </w:rPr>
        <w:t xml:space="preserve">. </w:t>
      </w:r>
      <w:hyperlink r:id="rId6">
        <w:r w:rsidRPr="00793712">
          <w:rPr>
            <w:rStyle w:val="Hyperlink"/>
            <w:rFonts w:ascii="Times New Roman" w:hAnsi="Times New Roman" w:cs="Times New Roman"/>
          </w:rPr>
          <w:t>https://doi.org/10.1017/psrm.2014.7</w:t>
        </w:r>
      </w:hyperlink>
    </w:p>
    <w:p w14:paraId="36E56914"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Braga, A. A., Turchan, B., Papachristos, A. V., &amp; Hureau, D. M. (2019). Hot spots policing of small geographic areas effects on crime. </w:t>
      </w:r>
      <w:r w:rsidRPr="00793712">
        <w:rPr>
          <w:rFonts w:ascii="Times New Roman" w:hAnsi="Times New Roman" w:cs="Times New Roman"/>
          <w:i/>
          <w:iCs/>
        </w:rPr>
        <w:t>Campbell Systematic Reviews</w:t>
      </w:r>
      <w:r w:rsidRPr="00793712">
        <w:rPr>
          <w:rFonts w:ascii="Times New Roman" w:hAnsi="Times New Roman" w:cs="Times New Roman"/>
        </w:rPr>
        <w:t xml:space="preserve">. </w:t>
      </w:r>
      <w:hyperlink r:id="rId7">
        <w:r w:rsidRPr="00793712">
          <w:rPr>
            <w:rStyle w:val="Hyperlink"/>
            <w:rFonts w:ascii="Times New Roman" w:hAnsi="Times New Roman" w:cs="Times New Roman"/>
          </w:rPr>
          <w:t>https://doi.org/10.1002/cl2.1046</w:t>
        </w:r>
      </w:hyperlink>
    </w:p>
    <w:p w14:paraId="19FCF02A"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Chen, M. K., Christensen, K. L., John, E., Owens, E., &amp; Zhuo, Y. (2023). Smartphone data reveal neighborhood-level racial disparities in police presence. </w:t>
      </w:r>
      <w:r w:rsidRPr="00793712">
        <w:rPr>
          <w:rFonts w:ascii="Times New Roman" w:hAnsi="Times New Roman" w:cs="Times New Roman"/>
          <w:i/>
          <w:iCs/>
        </w:rPr>
        <w:t>The Review of Economics and Statistics</w:t>
      </w:r>
      <w:r w:rsidRPr="00793712">
        <w:rPr>
          <w:rFonts w:ascii="Times New Roman" w:hAnsi="Times New Roman" w:cs="Times New Roman"/>
        </w:rPr>
        <w:t xml:space="preserve">. </w:t>
      </w:r>
      <w:hyperlink r:id="rId8">
        <w:r w:rsidRPr="00793712">
          <w:rPr>
            <w:rStyle w:val="Hyperlink"/>
            <w:rFonts w:ascii="Times New Roman" w:hAnsi="Times New Roman" w:cs="Times New Roman"/>
          </w:rPr>
          <w:t>https://doi.org/10.1162/rest_a_01370</w:t>
        </w:r>
      </w:hyperlink>
    </w:p>
    <w:p w14:paraId="17964D88"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Cook, S., &amp; Fortunato, D. (2022). The politics of police data: State legislative capacity and the transparency of state and substate agencies. </w:t>
      </w:r>
      <w:r w:rsidRPr="00793712">
        <w:rPr>
          <w:rFonts w:ascii="Times New Roman" w:hAnsi="Times New Roman" w:cs="Times New Roman"/>
          <w:i/>
          <w:iCs/>
        </w:rPr>
        <w:t>American Political Science Review</w:t>
      </w:r>
      <w:r w:rsidRPr="00793712">
        <w:rPr>
          <w:rFonts w:ascii="Times New Roman" w:hAnsi="Times New Roman" w:cs="Times New Roman"/>
        </w:rPr>
        <w:t xml:space="preserve">. </w:t>
      </w:r>
      <w:hyperlink r:id="rId9">
        <w:r w:rsidRPr="00793712">
          <w:rPr>
            <w:rStyle w:val="Hyperlink"/>
            <w:rFonts w:ascii="Times New Roman" w:hAnsi="Times New Roman" w:cs="Times New Roman"/>
          </w:rPr>
          <w:t>https://doi.org/10.1017/s0003055422000624</w:t>
        </w:r>
      </w:hyperlink>
    </w:p>
    <w:p w14:paraId="7C291ED0"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Dollar, C. B. (2014). Racial threat theory: Assessing the evidence, requesting redesign. </w:t>
      </w:r>
      <w:r w:rsidRPr="00793712">
        <w:rPr>
          <w:rFonts w:ascii="Times New Roman" w:hAnsi="Times New Roman" w:cs="Times New Roman"/>
          <w:i/>
          <w:iCs/>
        </w:rPr>
        <w:t>Journal of Criminology</w:t>
      </w:r>
      <w:r w:rsidRPr="00793712">
        <w:rPr>
          <w:rFonts w:ascii="Times New Roman" w:hAnsi="Times New Roman" w:cs="Times New Roman"/>
        </w:rPr>
        <w:t xml:space="preserve">. </w:t>
      </w:r>
      <w:hyperlink r:id="rId10">
        <w:r w:rsidRPr="00793712">
          <w:rPr>
            <w:rStyle w:val="Hyperlink"/>
            <w:rFonts w:ascii="Times New Roman" w:hAnsi="Times New Roman" w:cs="Times New Roman"/>
          </w:rPr>
          <w:t>https://doi.org/10.1155/2014/983026</w:t>
        </w:r>
      </w:hyperlink>
    </w:p>
    <w:p w14:paraId="50900B8C"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Donnelly, E. A., &amp; MacDonald, J. M. (2018). The downstream effects of bail and pretrial detention on racial disparities in incarceration. </w:t>
      </w:r>
      <w:r w:rsidRPr="00793712">
        <w:rPr>
          <w:rFonts w:ascii="Times New Roman" w:hAnsi="Times New Roman" w:cs="Times New Roman"/>
          <w:i/>
          <w:iCs/>
        </w:rPr>
        <w:t>eYLS (Yale Law School)</w:t>
      </w:r>
      <w:r w:rsidRPr="00793712">
        <w:rPr>
          <w:rFonts w:ascii="Times New Roman" w:hAnsi="Times New Roman" w:cs="Times New Roman"/>
        </w:rPr>
        <w:t xml:space="preserve">. </w:t>
      </w:r>
      <w:hyperlink r:id="rId11">
        <w:r w:rsidRPr="00793712">
          <w:rPr>
            <w:rStyle w:val="Hyperlink"/>
            <w:rFonts w:ascii="Times New Roman" w:hAnsi="Times New Roman" w:cs="Times New Roman"/>
          </w:rPr>
          <w:t>https://scholarlycommons.law.northwestern.edu/cgi/viewcontent.cgi?article=7641&amp;context=jclc</w:t>
        </w:r>
      </w:hyperlink>
    </w:p>
    <w:p w14:paraId="4117C89C" w14:textId="77777777" w:rsidR="001062E7" w:rsidRPr="00793712" w:rsidRDefault="00000000" w:rsidP="00793712">
      <w:pPr>
        <w:pStyle w:val="BodyText"/>
        <w:jc w:val="both"/>
        <w:rPr>
          <w:rFonts w:ascii="Times New Roman" w:hAnsi="Times New Roman" w:cs="Times New Roman"/>
          <w:lang w:val="it-CH"/>
        </w:rPr>
      </w:pPr>
      <w:r w:rsidRPr="00793712">
        <w:rPr>
          <w:rFonts w:ascii="Times New Roman" w:hAnsi="Times New Roman" w:cs="Times New Roman"/>
        </w:rPr>
        <w:t xml:space="preserve">Eitle, D. (2005). The influence of mandatory arrest policies, police organizational characteristics, and situational variables on the probability of arrest in domestic violence cases. </w:t>
      </w:r>
      <w:r w:rsidRPr="00793712">
        <w:rPr>
          <w:rFonts w:ascii="Times New Roman" w:hAnsi="Times New Roman" w:cs="Times New Roman"/>
          <w:i/>
          <w:iCs/>
          <w:lang w:val="it-CH"/>
        </w:rPr>
        <w:t>Crime &amp; Delinquency</w:t>
      </w:r>
      <w:r w:rsidRPr="00793712">
        <w:rPr>
          <w:rFonts w:ascii="Times New Roman" w:hAnsi="Times New Roman" w:cs="Times New Roman"/>
          <w:lang w:val="it-CH"/>
        </w:rPr>
        <w:t xml:space="preserve">. </w:t>
      </w:r>
      <w:r w:rsidRPr="00793712">
        <w:rPr>
          <w:rFonts w:ascii="Times New Roman" w:hAnsi="Times New Roman" w:cs="Times New Roman"/>
        </w:rPr>
        <w:fldChar w:fldCharType="begin"/>
      </w:r>
      <w:r w:rsidRPr="00793712">
        <w:rPr>
          <w:rFonts w:ascii="Times New Roman" w:hAnsi="Times New Roman" w:cs="Times New Roman"/>
          <w:lang w:val="it-CH"/>
        </w:rPr>
        <w:instrText>HYPERLINK "https://doi.org/10.1177/0011128705277784" \h</w:instrText>
      </w:r>
      <w:r w:rsidRPr="00793712">
        <w:rPr>
          <w:rFonts w:ascii="Times New Roman" w:hAnsi="Times New Roman" w:cs="Times New Roman"/>
        </w:rPr>
      </w:r>
      <w:r w:rsidRPr="00793712">
        <w:rPr>
          <w:rFonts w:ascii="Times New Roman" w:hAnsi="Times New Roman" w:cs="Times New Roman"/>
        </w:rPr>
        <w:fldChar w:fldCharType="separate"/>
      </w:r>
      <w:r w:rsidRPr="00793712">
        <w:rPr>
          <w:rStyle w:val="Hyperlink"/>
          <w:rFonts w:ascii="Times New Roman" w:hAnsi="Times New Roman" w:cs="Times New Roman"/>
          <w:lang w:val="it-CH"/>
        </w:rPr>
        <w:t>https://doi.org/10.1177/0011128705277784</w:t>
      </w:r>
      <w:r w:rsidRPr="00793712">
        <w:rPr>
          <w:rFonts w:ascii="Times New Roman" w:hAnsi="Times New Roman" w:cs="Times New Roman"/>
        </w:rPr>
        <w:fldChar w:fldCharType="end"/>
      </w:r>
    </w:p>
    <w:p w14:paraId="4877DED7"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lang w:val="it-CH"/>
        </w:rPr>
        <w:t xml:space="preserve">Fagan, J., Braga, A. A., Brunson, R. K., &amp; Pattavina, A. (2016). </w:t>
      </w:r>
      <w:r w:rsidRPr="00793712">
        <w:rPr>
          <w:rFonts w:ascii="Times New Roman" w:hAnsi="Times New Roman" w:cs="Times New Roman"/>
        </w:rPr>
        <w:t xml:space="preserve">Stops and </w:t>
      </w:r>
      <w:proofErr w:type="spellStart"/>
      <w:r w:rsidRPr="00793712">
        <w:rPr>
          <w:rFonts w:ascii="Times New Roman" w:hAnsi="Times New Roman" w:cs="Times New Roman"/>
        </w:rPr>
        <w:t>stares</w:t>
      </w:r>
      <w:proofErr w:type="spellEnd"/>
      <w:r w:rsidRPr="00793712">
        <w:rPr>
          <w:rFonts w:ascii="Times New Roman" w:hAnsi="Times New Roman" w:cs="Times New Roman"/>
        </w:rPr>
        <w:t xml:space="preserve">: Street stops, surveillance, and race in the new policing. </w:t>
      </w:r>
      <w:r w:rsidRPr="00793712">
        <w:rPr>
          <w:rFonts w:ascii="Times New Roman" w:hAnsi="Times New Roman" w:cs="Times New Roman"/>
          <w:i/>
          <w:iCs/>
        </w:rPr>
        <w:t>eYLS (Yale Law School)</w:t>
      </w:r>
      <w:r w:rsidRPr="00793712">
        <w:rPr>
          <w:rFonts w:ascii="Times New Roman" w:hAnsi="Times New Roman" w:cs="Times New Roman"/>
        </w:rPr>
        <w:t xml:space="preserve">. </w:t>
      </w:r>
      <w:hyperlink r:id="rId12">
        <w:r w:rsidRPr="00793712">
          <w:rPr>
            <w:rStyle w:val="Hyperlink"/>
            <w:rFonts w:ascii="Times New Roman" w:hAnsi="Times New Roman" w:cs="Times New Roman"/>
          </w:rPr>
          <w:t>https://ir.lawnet.fordham.edu/cgi/viewcontent.cgi?article=2658&amp;context=ulj</w:t>
        </w:r>
      </w:hyperlink>
    </w:p>
    <w:p w14:paraId="39ACB399"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Fogliato, R., Xiang, A., Lipton, Z. C., Nagin, D., &amp; Chouldechova, A. (2021). On the validity of arrest as a proxy for offense: Race and the likelihood of arrest for violent crimes. </w:t>
      </w:r>
      <w:r w:rsidRPr="00793712">
        <w:rPr>
          <w:rFonts w:ascii="Times New Roman" w:hAnsi="Times New Roman" w:cs="Times New Roman"/>
          <w:i/>
          <w:iCs/>
        </w:rPr>
        <w:t>AAAI/ACM Conference on AI, Ethics, and Society</w:t>
      </w:r>
      <w:r w:rsidRPr="00793712">
        <w:rPr>
          <w:rFonts w:ascii="Times New Roman" w:hAnsi="Times New Roman" w:cs="Times New Roman"/>
        </w:rPr>
        <w:t xml:space="preserve">. </w:t>
      </w:r>
      <w:hyperlink r:id="rId13">
        <w:r w:rsidRPr="00793712">
          <w:rPr>
            <w:rStyle w:val="Hyperlink"/>
            <w:rFonts w:ascii="Times New Roman" w:hAnsi="Times New Roman" w:cs="Times New Roman"/>
          </w:rPr>
          <w:t>https://doi.org/10.1145/3461702.3462538</w:t>
        </w:r>
      </w:hyperlink>
    </w:p>
    <w:p w14:paraId="3172D817"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Hair, J. F., &amp; Fávero, L. P. L. (2019). Multilevel modeling for longitudinal data: Concepts and applications. </w:t>
      </w:r>
      <w:r w:rsidRPr="00793712">
        <w:rPr>
          <w:rFonts w:ascii="Times New Roman" w:hAnsi="Times New Roman" w:cs="Times New Roman"/>
          <w:i/>
          <w:iCs/>
        </w:rPr>
        <w:t>RAUSP Management Journal</w:t>
      </w:r>
      <w:r w:rsidRPr="00793712">
        <w:rPr>
          <w:rFonts w:ascii="Times New Roman" w:hAnsi="Times New Roman" w:cs="Times New Roman"/>
        </w:rPr>
        <w:t xml:space="preserve">. </w:t>
      </w:r>
      <w:hyperlink r:id="rId14">
        <w:r w:rsidRPr="00793712">
          <w:rPr>
            <w:rStyle w:val="Hyperlink"/>
            <w:rFonts w:ascii="Times New Roman" w:hAnsi="Times New Roman" w:cs="Times New Roman"/>
          </w:rPr>
          <w:t>https://doi.org/10.1108/rausp-04-2019-0059</w:t>
        </w:r>
      </w:hyperlink>
    </w:p>
    <w:p w14:paraId="1DD8A63A"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lastRenderedPageBreak/>
        <w:t xml:space="preserve">Hinkle, J. C., Weisburd, D., Telep, C. W., &amp; Petersen, K. (2020). Problem‐oriented policing for reducing crime and disorder: An updated systematic review and meta‐analysis. </w:t>
      </w:r>
      <w:r w:rsidRPr="00793712">
        <w:rPr>
          <w:rFonts w:ascii="Times New Roman" w:hAnsi="Times New Roman" w:cs="Times New Roman"/>
          <w:i/>
          <w:iCs/>
        </w:rPr>
        <w:t>Campbell Systematic Reviews</w:t>
      </w:r>
      <w:r w:rsidRPr="00793712">
        <w:rPr>
          <w:rFonts w:ascii="Times New Roman" w:hAnsi="Times New Roman" w:cs="Times New Roman"/>
        </w:rPr>
        <w:t xml:space="preserve">. </w:t>
      </w:r>
      <w:hyperlink r:id="rId15">
        <w:r w:rsidRPr="00793712">
          <w:rPr>
            <w:rStyle w:val="Hyperlink"/>
            <w:rFonts w:ascii="Times New Roman" w:hAnsi="Times New Roman" w:cs="Times New Roman"/>
          </w:rPr>
          <w:t>https://doi.org/10.1002/cl2.1089</w:t>
        </w:r>
      </w:hyperlink>
    </w:p>
    <w:p w14:paraId="1B6DB792"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Iyengar, R. (2007). Does the certainty of arrest reduce domestic violence? Evidence from mandatory and recommended arrest laws. </w:t>
      </w:r>
      <w:r w:rsidRPr="00793712">
        <w:rPr>
          <w:rFonts w:ascii="Times New Roman" w:hAnsi="Times New Roman" w:cs="Times New Roman"/>
          <w:i/>
          <w:iCs/>
        </w:rPr>
        <w:t>National Bureau of Economic Research</w:t>
      </w:r>
      <w:r w:rsidRPr="00793712">
        <w:rPr>
          <w:rFonts w:ascii="Times New Roman" w:hAnsi="Times New Roman" w:cs="Times New Roman"/>
        </w:rPr>
        <w:t xml:space="preserve">. </w:t>
      </w:r>
      <w:hyperlink r:id="rId16">
        <w:r w:rsidRPr="00793712">
          <w:rPr>
            <w:rStyle w:val="Hyperlink"/>
            <w:rFonts w:ascii="Times New Roman" w:hAnsi="Times New Roman" w:cs="Times New Roman"/>
          </w:rPr>
          <w:t>https://doi.org/10.3386/w13186</w:t>
        </w:r>
      </w:hyperlink>
    </w:p>
    <w:p w14:paraId="5B280DDD"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Kurlychek, M. C., &amp; Johnson, B. D. (2019). Cumulative disadvantage in the american criminal justice system. </w:t>
      </w:r>
      <w:r w:rsidRPr="00793712">
        <w:rPr>
          <w:rFonts w:ascii="Times New Roman" w:hAnsi="Times New Roman" w:cs="Times New Roman"/>
          <w:i/>
          <w:iCs/>
        </w:rPr>
        <w:t>Annual Review of Criminology</w:t>
      </w:r>
      <w:r w:rsidRPr="00793712">
        <w:rPr>
          <w:rFonts w:ascii="Times New Roman" w:hAnsi="Times New Roman" w:cs="Times New Roman"/>
        </w:rPr>
        <w:t xml:space="preserve">. </w:t>
      </w:r>
      <w:hyperlink r:id="rId17">
        <w:r w:rsidRPr="00793712">
          <w:rPr>
            <w:rStyle w:val="Hyperlink"/>
            <w:rFonts w:ascii="Times New Roman" w:hAnsi="Times New Roman" w:cs="Times New Roman"/>
          </w:rPr>
          <w:t>https://doi.org/10.1146/annurev-criminol-011518-024815</w:t>
        </w:r>
      </w:hyperlink>
    </w:p>
    <w:p w14:paraId="2AA8CF79"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Leckie, G., Browne, W. J., Goldstein, H., Merlo, J., &amp; Austin, P. C. (2020). Partitioning variation in multilevel models for count data. </w:t>
      </w:r>
      <w:r w:rsidRPr="00793712">
        <w:rPr>
          <w:rFonts w:ascii="Times New Roman" w:hAnsi="Times New Roman" w:cs="Times New Roman"/>
          <w:i/>
          <w:iCs/>
        </w:rPr>
        <w:t>Psychological Methods</w:t>
      </w:r>
      <w:r w:rsidRPr="00793712">
        <w:rPr>
          <w:rFonts w:ascii="Times New Roman" w:hAnsi="Times New Roman" w:cs="Times New Roman"/>
        </w:rPr>
        <w:t xml:space="preserve">. </w:t>
      </w:r>
      <w:hyperlink r:id="rId18">
        <w:r w:rsidRPr="00793712">
          <w:rPr>
            <w:rStyle w:val="Hyperlink"/>
            <w:rFonts w:ascii="Times New Roman" w:hAnsi="Times New Roman" w:cs="Times New Roman"/>
          </w:rPr>
          <w:t>https://doi.org/10.1037/met0000265</w:t>
        </w:r>
      </w:hyperlink>
    </w:p>
    <w:p w14:paraId="292C15EC"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Møller, K. (2010). Policy displacement and disparate sanctioning from policing cannabis in denmark. </w:t>
      </w:r>
      <w:r w:rsidRPr="00793712">
        <w:rPr>
          <w:rFonts w:ascii="Times New Roman" w:hAnsi="Times New Roman" w:cs="Times New Roman"/>
          <w:i/>
          <w:iCs/>
        </w:rPr>
        <w:t>Journal of Scandinavian Studies in Criminology and Crime Prevention</w:t>
      </w:r>
      <w:r w:rsidRPr="00793712">
        <w:rPr>
          <w:rFonts w:ascii="Times New Roman" w:hAnsi="Times New Roman" w:cs="Times New Roman"/>
        </w:rPr>
        <w:t xml:space="preserve">. </w:t>
      </w:r>
      <w:hyperlink r:id="rId19">
        <w:r w:rsidRPr="00793712">
          <w:rPr>
            <w:rStyle w:val="Hyperlink"/>
            <w:rFonts w:ascii="Times New Roman" w:hAnsi="Times New Roman" w:cs="Times New Roman"/>
          </w:rPr>
          <w:t>https://doi.org/10.1080/14043858.2010.502014</w:t>
        </w:r>
      </w:hyperlink>
    </w:p>
    <w:p w14:paraId="1B51C4B8"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Phillips, C. (2010). Institutional racism and ethnic inequalities: An expanded multilevel framework. </w:t>
      </w:r>
      <w:r w:rsidRPr="00793712">
        <w:rPr>
          <w:rFonts w:ascii="Times New Roman" w:hAnsi="Times New Roman" w:cs="Times New Roman"/>
          <w:i/>
          <w:iCs/>
        </w:rPr>
        <w:t>Journal of Social Policy</w:t>
      </w:r>
      <w:r w:rsidRPr="00793712">
        <w:rPr>
          <w:rFonts w:ascii="Times New Roman" w:hAnsi="Times New Roman" w:cs="Times New Roman"/>
        </w:rPr>
        <w:t xml:space="preserve">. </w:t>
      </w:r>
      <w:hyperlink r:id="rId20">
        <w:r w:rsidRPr="00793712">
          <w:rPr>
            <w:rStyle w:val="Hyperlink"/>
            <w:rFonts w:ascii="Times New Roman" w:hAnsi="Times New Roman" w:cs="Times New Roman"/>
          </w:rPr>
          <w:t>https://doi.org/10.1017/s0047279410000565</w:t>
        </w:r>
      </w:hyperlink>
    </w:p>
    <w:p w14:paraId="2AF49359"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Ross, C. T. (2015). A multi-level bayesian analysis of racial bias in police shootings at the county-level in the united states, 2011–2014. </w:t>
      </w:r>
      <w:r w:rsidRPr="00793712">
        <w:rPr>
          <w:rFonts w:ascii="Times New Roman" w:hAnsi="Times New Roman" w:cs="Times New Roman"/>
          <w:i/>
          <w:iCs/>
        </w:rPr>
        <w:t>PLoS ONE</w:t>
      </w:r>
      <w:r w:rsidRPr="00793712">
        <w:rPr>
          <w:rFonts w:ascii="Times New Roman" w:hAnsi="Times New Roman" w:cs="Times New Roman"/>
        </w:rPr>
        <w:t xml:space="preserve">. </w:t>
      </w:r>
      <w:hyperlink r:id="rId21">
        <w:r w:rsidRPr="00793712">
          <w:rPr>
            <w:rStyle w:val="Hyperlink"/>
            <w:rFonts w:ascii="Times New Roman" w:hAnsi="Times New Roman" w:cs="Times New Roman"/>
          </w:rPr>
          <w:t>https://doi.org/10.1371/journal.pone.0141854</w:t>
        </w:r>
      </w:hyperlink>
    </w:p>
    <w:p w14:paraId="03C58245"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Sampson, R. J., &amp; Lauritsen, J. L. (1997). Racial and ethnic disparities in crime and criminal justice in the united states. </w:t>
      </w:r>
      <w:r w:rsidRPr="00793712">
        <w:rPr>
          <w:rFonts w:ascii="Times New Roman" w:hAnsi="Times New Roman" w:cs="Times New Roman"/>
          <w:i/>
          <w:iCs/>
        </w:rPr>
        <w:t>Crime and Justice</w:t>
      </w:r>
      <w:r w:rsidRPr="00793712">
        <w:rPr>
          <w:rFonts w:ascii="Times New Roman" w:hAnsi="Times New Roman" w:cs="Times New Roman"/>
        </w:rPr>
        <w:t xml:space="preserve">. </w:t>
      </w:r>
      <w:hyperlink r:id="rId22">
        <w:r w:rsidRPr="00793712">
          <w:rPr>
            <w:rStyle w:val="Hyperlink"/>
            <w:rFonts w:ascii="Times New Roman" w:hAnsi="Times New Roman" w:cs="Times New Roman"/>
          </w:rPr>
          <w:t>https://doi.org/10.1086/449253</w:t>
        </w:r>
      </w:hyperlink>
    </w:p>
    <w:p w14:paraId="4B2348BD"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Shiner, M., Carre, Z., Delsol, R., &amp; Eastwood, N. (2018). The colour of injustice: ’Race’, drugs and law enforcement in england and wales. </w:t>
      </w:r>
      <w:r w:rsidRPr="00793712">
        <w:rPr>
          <w:rFonts w:ascii="Times New Roman" w:hAnsi="Times New Roman" w:cs="Times New Roman"/>
          <w:i/>
          <w:iCs/>
        </w:rPr>
        <w:t>London School of Economics and Political Science Research Online (London School of Economics and Political Science)</w:t>
      </w:r>
      <w:r w:rsidRPr="00793712">
        <w:rPr>
          <w:rFonts w:ascii="Times New Roman" w:hAnsi="Times New Roman" w:cs="Times New Roman"/>
        </w:rPr>
        <w:t xml:space="preserve">. </w:t>
      </w:r>
      <w:hyperlink r:id="rId23">
        <w:r w:rsidRPr="00793712">
          <w:rPr>
            <w:rStyle w:val="Hyperlink"/>
            <w:rFonts w:ascii="Times New Roman" w:hAnsi="Times New Roman" w:cs="Times New Roman"/>
          </w:rPr>
          <w:t>http://eprints.lse.ac.uk/100751/1/TheColourOfInjustice.pdf</w:t>
        </w:r>
      </w:hyperlink>
    </w:p>
    <w:p w14:paraId="23AA52EE"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Simes, J. T., Beck, B., &amp; Eason, J. M. (2023). Policing, punishment, and place: Spatial-contextual analyses of the criminal legal system. </w:t>
      </w:r>
      <w:r w:rsidRPr="00793712">
        <w:rPr>
          <w:rFonts w:ascii="Times New Roman" w:hAnsi="Times New Roman" w:cs="Times New Roman"/>
          <w:i/>
          <w:iCs/>
        </w:rPr>
        <w:t>Annual Review of Sociology</w:t>
      </w:r>
      <w:r w:rsidRPr="00793712">
        <w:rPr>
          <w:rFonts w:ascii="Times New Roman" w:hAnsi="Times New Roman" w:cs="Times New Roman"/>
        </w:rPr>
        <w:t xml:space="preserve">. </w:t>
      </w:r>
      <w:hyperlink r:id="rId24">
        <w:r w:rsidRPr="00793712">
          <w:rPr>
            <w:rStyle w:val="Hyperlink"/>
            <w:rFonts w:ascii="Times New Roman" w:hAnsi="Times New Roman" w:cs="Times New Roman"/>
          </w:rPr>
          <w:t>https://doi.org/10.1146/annurev-soc-031021-035328</w:t>
        </w:r>
      </w:hyperlink>
    </w:p>
    <w:p w14:paraId="583C26E3"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Stoughton, S. W. (2016). Principled policing: Warrior cops and guardian officers. </w:t>
      </w:r>
      <w:r w:rsidRPr="00793712">
        <w:rPr>
          <w:rFonts w:ascii="Times New Roman" w:hAnsi="Times New Roman" w:cs="Times New Roman"/>
          <w:i/>
          <w:iCs/>
        </w:rPr>
        <w:t>Scholar Commons (University of South Carolina)</w:t>
      </w:r>
      <w:r w:rsidRPr="00793712">
        <w:rPr>
          <w:rFonts w:ascii="Times New Roman" w:hAnsi="Times New Roman" w:cs="Times New Roman"/>
        </w:rPr>
        <w:t xml:space="preserve">. </w:t>
      </w:r>
      <w:hyperlink r:id="rId25">
        <w:r w:rsidRPr="00793712">
          <w:rPr>
            <w:rStyle w:val="Hyperlink"/>
            <w:rFonts w:ascii="Times New Roman" w:hAnsi="Times New Roman" w:cs="Times New Roman"/>
          </w:rPr>
          <w:t>https://scholarcommons.sc.edu/law_facpub/456</w:t>
        </w:r>
      </w:hyperlink>
    </w:p>
    <w:p w14:paraId="16ACB5AC"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lang w:val="de-CH"/>
        </w:rPr>
        <w:t xml:space="preserve">Towers, S., Chen, S., Malik, A., &amp; Ebert, D. S. (2018). </w:t>
      </w:r>
      <w:r w:rsidRPr="00793712">
        <w:rPr>
          <w:rFonts w:ascii="Times New Roman" w:hAnsi="Times New Roman" w:cs="Times New Roman"/>
        </w:rPr>
        <w:t xml:space="preserve">Factors influencing temporal patterns in crime in a large american city: A predictive analytics perspective. </w:t>
      </w:r>
      <w:r w:rsidRPr="00793712">
        <w:rPr>
          <w:rFonts w:ascii="Times New Roman" w:hAnsi="Times New Roman" w:cs="Times New Roman"/>
          <w:i/>
          <w:iCs/>
        </w:rPr>
        <w:t>PLoS ONE</w:t>
      </w:r>
      <w:r w:rsidRPr="00793712">
        <w:rPr>
          <w:rFonts w:ascii="Times New Roman" w:hAnsi="Times New Roman" w:cs="Times New Roman"/>
        </w:rPr>
        <w:t xml:space="preserve">. </w:t>
      </w:r>
      <w:hyperlink r:id="rId26">
        <w:r w:rsidRPr="00793712">
          <w:rPr>
            <w:rStyle w:val="Hyperlink"/>
            <w:rFonts w:ascii="Times New Roman" w:hAnsi="Times New Roman" w:cs="Times New Roman"/>
          </w:rPr>
          <w:t>https://doi.org/10.1371/journal.pone.0205151</w:t>
        </w:r>
      </w:hyperlink>
    </w:p>
    <w:p w14:paraId="7AC24DD7"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t xml:space="preserve">Vogel, M., &amp; Ham, M. van. (2017). Unpacking the relationships between impulsivity, neighborhood disadvantage, and adolescent violence: An application of a neighborhood-based group decomposition. </w:t>
      </w:r>
      <w:r w:rsidRPr="00793712">
        <w:rPr>
          <w:rFonts w:ascii="Times New Roman" w:hAnsi="Times New Roman" w:cs="Times New Roman"/>
          <w:i/>
          <w:iCs/>
        </w:rPr>
        <w:t>Journal of Youth and Adolescence</w:t>
      </w:r>
      <w:r w:rsidRPr="00793712">
        <w:rPr>
          <w:rFonts w:ascii="Times New Roman" w:hAnsi="Times New Roman" w:cs="Times New Roman"/>
        </w:rPr>
        <w:t xml:space="preserve">. </w:t>
      </w:r>
      <w:hyperlink r:id="rId27">
        <w:r w:rsidRPr="00793712">
          <w:rPr>
            <w:rStyle w:val="Hyperlink"/>
            <w:rFonts w:ascii="Times New Roman" w:hAnsi="Times New Roman" w:cs="Times New Roman"/>
          </w:rPr>
          <w:t>https://doi.org/10.1007/s10964-017-0695-3</w:t>
        </w:r>
      </w:hyperlink>
    </w:p>
    <w:p w14:paraId="0B312074" w14:textId="77777777" w:rsidR="001062E7" w:rsidRPr="00793712" w:rsidRDefault="00000000" w:rsidP="00793712">
      <w:pPr>
        <w:pStyle w:val="BodyText"/>
        <w:jc w:val="both"/>
        <w:rPr>
          <w:rFonts w:ascii="Times New Roman" w:hAnsi="Times New Roman" w:cs="Times New Roman"/>
        </w:rPr>
      </w:pPr>
      <w:r w:rsidRPr="00793712">
        <w:rPr>
          <w:rFonts w:ascii="Times New Roman" w:hAnsi="Times New Roman" w:cs="Times New Roman"/>
        </w:rPr>
        <w:lastRenderedPageBreak/>
        <w:t xml:space="preserve">Wortley, R. (2003). Measuring police attitudes toward discretion. </w:t>
      </w:r>
      <w:r w:rsidRPr="00793712">
        <w:rPr>
          <w:rFonts w:ascii="Times New Roman" w:hAnsi="Times New Roman" w:cs="Times New Roman"/>
          <w:i/>
          <w:iCs/>
        </w:rPr>
        <w:t>Criminal Justice and Behavior</w:t>
      </w:r>
      <w:r w:rsidRPr="00793712">
        <w:rPr>
          <w:rFonts w:ascii="Times New Roman" w:hAnsi="Times New Roman" w:cs="Times New Roman"/>
        </w:rPr>
        <w:t xml:space="preserve">. </w:t>
      </w:r>
      <w:hyperlink r:id="rId28">
        <w:r w:rsidRPr="00793712">
          <w:rPr>
            <w:rStyle w:val="Hyperlink"/>
            <w:rFonts w:ascii="Times New Roman" w:hAnsi="Times New Roman" w:cs="Times New Roman"/>
          </w:rPr>
          <w:t>https://doi.org/10.1177/0093854803254805</w:t>
        </w:r>
      </w:hyperlink>
    </w:p>
    <w:sectPr w:rsidR="001062E7" w:rsidRPr="007937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0885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DE97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1D63C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91759210">
    <w:abstractNumId w:val="0"/>
  </w:num>
  <w:num w:numId="2" w16cid:durableId="1480147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2367869">
    <w:abstractNumId w:val="1"/>
  </w:num>
  <w:num w:numId="4" w16cid:durableId="1843927869">
    <w:abstractNumId w:val="1"/>
  </w:num>
  <w:num w:numId="5" w16cid:durableId="1668437653">
    <w:abstractNumId w:val="1"/>
  </w:num>
  <w:num w:numId="6" w16cid:durableId="14623152">
    <w:abstractNumId w:val="1"/>
  </w:num>
  <w:num w:numId="7" w16cid:durableId="447504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4554951">
    <w:abstractNumId w:val="1"/>
  </w:num>
  <w:num w:numId="9" w16cid:durableId="531769688">
    <w:abstractNumId w:val="1"/>
  </w:num>
  <w:num w:numId="10" w16cid:durableId="346058785">
    <w:abstractNumId w:val="1"/>
  </w:num>
  <w:num w:numId="11" w16cid:durableId="339091314">
    <w:abstractNumId w:val="1"/>
  </w:num>
  <w:num w:numId="12" w16cid:durableId="124259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E7"/>
    <w:rsid w:val="001062E7"/>
    <w:rsid w:val="00793712"/>
    <w:rsid w:val="00B04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D604"/>
  <w15:docId w15:val="{30BB0427-77A3-2142-9CC5-B4E632AA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rest_a_01370" TargetMode="External"/><Relationship Id="rId13" Type="http://schemas.openxmlformats.org/officeDocument/2006/relationships/hyperlink" Target="https://doi.org/10.1145/3461702.3462538" TargetMode="External"/><Relationship Id="rId18" Type="http://schemas.openxmlformats.org/officeDocument/2006/relationships/hyperlink" Target="https://doi.org/10.1037/met0000265" TargetMode="External"/><Relationship Id="rId26" Type="http://schemas.openxmlformats.org/officeDocument/2006/relationships/hyperlink" Target="https://doi.org/10.1371/journal.pone.0205151" TargetMode="External"/><Relationship Id="rId3" Type="http://schemas.openxmlformats.org/officeDocument/2006/relationships/settings" Target="settings.xml"/><Relationship Id="rId21" Type="http://schemas.openxmlformats.org/officeDocument/2006/relationships/hyperlink" Target="https://doi.org/10.1371/journal.pone.0141854" TargetMode="External"/><Relationship Id="rId7" Type="http://schemas.openxmlformats.org/officeDocument/2006/relationships/hyperlink" Target="https://doi.org/10.1002/cl2.1046" TargetMode="External"/><Relationship Id="rId12" Type="http://schemas.openxmlformats.org/officeDocument/2006/relationships/hyperlink" Target="https://ir.lawnet.fordham.edu/cgi/viewcontent.cgi?article=2658&amp;context=ulj" TargetMode="External"/><Relationship Id="rId17" Type="http://schemas.openxmlformats.org/officeDocument/2006/relationships/hyperlink" Target="https://doi.org/10.1146/annurev-criminol-011518-024815" TargetMode="External"/><Relationship Id="rId25" Type="http://schemas.openxmlformats.org/officeDocument/2006/relationships/hyperlink" Target="https://scholarcommons.sc.edu/law_facpub/456" TargetMode="External"/><Relationship Id="rId2" Type="http://schemas.openxmlformats.org/officeDocument/2006/relationships/styles" Target="styles.xml"/><Relationship Id="rId16" Type="http://schemas.openxmlformats.org/officeDocument/2006/relationships/hyperlink" Target="https://doi.org/10.3386/w13186" TargetMode="External"/><Relationship Id="rId20" Type="http://schemas.openxmlformats.org/officeDocument/2006/relationships/hyperlink" Target="https://doi.org/10.1017/s004727941000056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7/psrm.2014.7" TargetMode="External"/><Relationship Id="rId11" Type="http://schemas.openxmlformats.org/officeDocument/2006/relationships/hyperlink" Target="https://scholarlycommons.law.northwestern.edu/cgi/viewcontent.cgi?article=7641&amp;context=jclc" TargetMode="External"/><Relationship Id="rId24" Type="http://schemas.openxmlformats.org/officeDocument/2006/relationships/hyperlink" Target="https://doi.org/10.1146/annurev-soc-031021-035328" TargetMode="External"/><Relationship Id="rId5" Type="http://schemas.openxmlformats.org/officeDocument/2006/relationships/hyperlink" Target="https://doi.org/10.3386/w10634" TargetMode="External"/><Relationship Id="rId15" Type="http://schemas.openxmlformats.org/officeDocument/2006/relationships/hyperlink" Target="https://doi.org/10.1002/cl2.1089" TargetMode="External"/><Relationship Id="rId23" Type="http://schemas.openxmlformats.org/officeDocument/2006/relationships/hyperlink" Target="http://eprints.lse.ac.uk/100751/1/TheColourOfInjustice.pdf" TargetMode="External"/><Relationship Id="rId28" Type="http://schemas.openxmlformats.org/officeDocument/2006/relationships/hyperlink" Target="https://doi.org/10.1177/0093854803254805" TargetMode="External"/><Relationship Id="rId10" Type="http://schemas.openxmlformats.org/officeDocument/2006/relationships/hyperlink" Target="https://doi.org/10.1155/2014/983026" TargetMode="External"/><Relationship Id="rId19" Type="http://schemas.openxmlformats.org/officeDocument/2006/relationships/hyperlink" Target="https://doi.org/10.1080/14043858.2010.502014" TargetMode="External"/><Relationship Id="rId4" Type="http://schemas.openxmlformats.org/officeDocument/2006/relationships/webSettings" Target="webSettings.xml"/><Relationship Id="rId9" Type="http://schemas.openxmlformats.org/officeDocument/2006/relationships/hyperlink" Target="https://doi.org/10.1017/s0003055422000624" TargetMode="External"/><Relationship Id="rId14" Type="http://schemas.openxmlformats.org/officeDocument/2006/relationships/hyperlink" Target="https://doi.org/10.1108/rausp-04-2019-0059" TargetMode="External"/><Relationship Id="rId22" Type="http://schemas.openxmlformats.org/officeDocument/2006/relationships/hyperlink" Target="https://doi.org/10.1086/449253" TargetMode="External"/><Relationship Id="rId27" Type="http://schemas.openxmlformats.org/officeDocument/2006/relationships/hyperlink" Target="https://doi.org/10.1007/s10964-017-0695-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5034</Words>
  <Characters>28699</Characters>
  <Application>Microsoft Office Word</Application>
  <DocSecurity>0</DocSecurity>
  <Lines>239</Lines>
  <Paragraphs>67</Paragraphs>
  <ScaleCrop>false</ScaleCrop>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Nikolina Vukmir</dc:creator>
  <cp:keywords/>
  <cp:lastModifiedBy>Nikolina Vukmir</cp:lastModifiedBy>
  <cp:revision>2</cp:revision>
  <dcterms:created xsi:type="dcterms:W3CDTF">2026-06-14T09:52:00Z</dcterms:created>
  <dcterms:modified xsi:type="dcterms:W3CDTF">2026-06-14T09:52:00Z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/tmp/document-temp/references_aa0257ddf264be05_1781430492.bib</vt:lpwstr>
  </property>
  <property fmtid="{D5CDD505-2E9C-101B-9397-08002B2CF9AE}" pid="3" name="csl">
    <vt:lpwstr>/tmp/document-temp/style_aa0257ddf264be05_1781430492.csl</vt:lpwstr>
  </property>
  <property fmtid="{D5CDD505-2E9C-101B-9397-08002B2CF9AE}" pid="4" name="link-citations">
    <vt:lpwstr>True</vt:lpwstr>
  </property>
</Properties>
</file>