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sz w:val="28"/>
          <w:szCs w:val="28"/>
        </w:rPr>
        <w:t xml:space="preserve">EVALUATION METRICS: FINAL METRIC AND CRITICAL METRICS</w:t>
      </w:r>
    </w:p>
    <w:p>
      <w:pPr>
        <w:spacing w:after="0" w:before="120" w:line="360" w:lineRule="auto"/>
        <w:jc w:val="center"/>
      </w:pPr>
      <w:r>
        <w:rPr>
          <w:rFonts w:ascii="Times New Roman" w:cs="Times New Roman" w:eastAsia="Times New Roman" w:hAnsi="Times New Roman"/>
          <w:i/>
          <w:iCs/>
          <w:color w:val="000000"/>
          <w:sz w:val="24"/>
          <w:szCs w:val="24"/>
        </w:rPr>
        <w:t xml:space="preserve">Methodology Subsection 6.6 of the Track B research proposal, “Validity of Simulated Scanner Shift as a Proxy for Real Cross-Vendor Failure in Medical Image Segmentation”</w:t>
      </w:r>
    </w:p>
    <w:p>
      <w:pPr>
        <w:pStyle w:val="Heading2"/>
        <w:keepNext/>
        <w:spacing w:after="0" w:before="120" w:line="360" w:lineRule="auto"/>
        <w:jc w:val="both"/>
      </w:pPr>
      <w:r>
        <w:rPr>
          <w:rFonts w:ascii="Times New Roman" w:cs="Times New Roman" w:eastAsia="Times New Roman" w:hAnsi="Times New Roman"/>
          <w:b/>
          <w:bCs/>
          <w:color w:val="000000"/>
          <w:sz w:val="24"/>
          <w:szCs w:val="24"/>
        </w:rPr>
        <w:t xml:space="preserve">6.6. Evaluation Metrics</w:t>
      </w:r>
    </w:p>
    <w:p>
      <w:pPr>
        <w:spacing w:after="0" w:before="120" w:line="360" w:lineRule="auto"/>
        <w:ind w:firstLine="0"/>
        <w:jc w:val="both"/>
      </w:pPr>
      <w:r>
        <w:rPr>
          <w:rFonts w:ascii="Times New Roman" w:cs="Times New Roman" w:eastAsia="Times New Roman" w:hAnsi="Times New Roman"/>
          <w:color w:val="000000"/>
          <w:sz w:val="24"/>
          <w:szCs w:val="24"/>
        </w:rPr>
        <w:t xml:space="preserve">This subsection fixes, before any model is evaluated on real cross-vendor data, how the research question will be answered numerically. Two kinds of quantity are defined. The final metric is the single pre-specified number on which the conclusion of the study rests. The critical metrics are the supporting measurements used to test whether that number can be trusted: they ask whether the result survives a different segmentation measure, a different slice of the data, or a different analytic choice.</w:t>
      </w:r>
    </w:p>
    <w:p>
      <w:pPr>
        <w:spacing w:after="0" w:before="120" w:line="360" w:lineRule="auto"/>
        <w:ind w:firstLine="0"/>
        <w:jc w:val="both"/>
      </w:pPr>
      <w:r>
        <w:rPr>
          <w:rFonts w:ascii="Times New Roman" w:cs="Times New Roman" w:eastAsia="Times New Roman" w:hAnsi="Times New Roman"/>
          <w:color w:val="000000"/>
          <w:sz w:val="24"/>
          <w:szCs w:val="24"/>
        </w:rPr>
        <w:t xml:space="preserve">The separation matters because of the sample size. A correlation computed across 10 to 15 models can be produced by one cardiac structure, one vendor, or one unusual model, and a single headline figure would hide that. The definitions below extend the Analysis Plan in Section 6.5, which states the comparison in words. Where the two differ in precision, this subsection governs.</w:t>
      </w:r>
    </w:p>
    <w:p>
      <w:pPr>
        <w:pStyle w:val="Heading3"/>
        <w:keepNext/>
        <w:spacing w:after="0" w:before="120" w:line="360" w:lineRule="auto"/>
        <w:jc w:val="both"/>
      </w:pPr>
      <w:r>
        <w:rPr>
          <w:rFonts w:ascii="Times New Roman" w:cs="Times New Roman" w:eastAsia="Times New Roman" w:hAnsi="Times New Roman"/>
          <w:i/>
          <w:iCs/>
          <w:color w:val="000000"/>
          <w:sz w:val="24"/>
          <w:szCs w:val="24"/>
        </w:rPr>
        <w:t xml:space="preserve">6.6.1. Notation and Evaluation Sets</w:t>
      </w:r>
    </w:p>
    <w:p>
      <w:pPr>
        <w:spacing w:after="0" w:before="120" w:line="360" w:lineRule="auto"/>
        <w:ind w:firstLine="0"/>
        <w:jc w:val="both"/>
      </w:pPr>
      <w:r>
        <w:rPr>
          <w:rFonts w:ascii="Times New Roman" w:cs="Times New Roman" w:eastAsia="Times New Roman" w:hAnsi="Times New Roman"/>
          <w:color w:val="000000"/>
          <w:sz w:val="24"/>
          <w:szCs w:val="24"/>
        </w:rPr>
        <w:t xml:space="preserve">Let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 1, ...,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index the trained models, with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between 10 and 15 (Section 6.2). Every model is trained on scans from vendor B (Philips) only, the same training vendor used for this dataset by Zenk et al. (2025). Vendors A (Siemens), C (General Electric) and D (Canon) are never seen during training or model selection (Campello et al., 2021).</w:t>
      </w:r>
    </w:p>
    <w:p>
      <w:pPr>
        <w:spacing w:after="0" w:before="120" w:line="360" w:lineRule="auto"/>
        <w:ind w:firstLine="0"/>
        <w:jc w:val="both"/>
      </w:pPr>
      <w:r>
        <w:rPr>
          <w:rFonts w:ascii="Times New Roman" w:cs="Times New Roman" w:eastAsia="Times New Roman" w:hAnsi="Times New Roman"/>
          <w:color w:val="000000"/>
          <w:sz w:val="24"/>
          <w:szCs w:val="24"/>
        </w:rPr>
        <w:t xml:space="preserve">The labelled vendor B patients are divided once, at patient level, into a training pool and a held-out test set. The division is made before any model is trained, is identical for all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models, and is stored with the code. Both volumes of a patient, ED and ES, always fall on the same side. Held-out patients are used for final scoring only: model selection and early stopping use a validation subset taken from the training pool. Zenk et al. (2025) held out 30 vendor B patients in their split of this dataset, and the same number is adopted here, subject to the patient count in the downloaded metadata. Without this separation the clean baseline would be measured on patients the models had already seen, and both drops in Equations 4 and 5 would be overstated.</w:t>
      </w:r>
    </w:p>
    <w:p>
      <w:pPr>
        <w:spacing w:after="0" w:before="120" w:line="360" w:lineRule="auto"/>
        <w:ind w:firstLine="0"/>
        <w:jc w:val="both"/>
      </w:pPr>
      <w:r>
        <w:rPr>
          <w:rFonts w:ascii="Times New Roman" w:cs="Times New Roman" w:eastAsia="Times New Roman" w:hAnsi="Times New Roman"/>
          <w:color w:val="000000"/>
          <w:sz w:val="24"/>
          <w:szCs w:val="24"/>
        </w:rPr>
        <w:t xml:space="preserve">Three kinds of evaluation set are used.</w:t>
      </w:r>
    </w:p>
    <w:p>
      <w:pPr>
        <w:spacing w:after="0" w:before="120" w:line="360" w:lineRule="auto"/>
        <w:ind w:firstLine="0"/>
        <w:jc w:val="both"/>
      </w:pPr>
      <w:r>
        <w:rPr>
          <w:rFonts w:ascii="Times New Roman" w:cs="Times New Roman" w:eastAsia="Times New Roman" w:hAnsi="Times New Roman"/>
          <w:i/>
          <w:iCs/>
          <w:color w:val="000000"/>
          <w:sz w:val="24"/>
          <w:szCs w:val="24"/>
        </w:rPr>
        <w:t xml:space="preserve">T</w:t>
      </w:r>
      <w:r>
        <w:rPr>
          <w:rFonts w:ascii="Times New Roman" w:cs="Times New Roman" w:eastAsia="Times New Roman" w:hAnsi="Times New Roman"/>
          <w:color w:val="000000"/>
          <w:sz w:val="24"/>
          <w:szCs w:val="24"/>
          <w:vertAlign w:val="subscript"/>
        </w:rPr>
        <w:t xml:space="preserve">B</w:t>
      </w:r>
      <w:r>
        <w:rPr>
          <w:rFonts w:ascii="Times New Roman" w:cs="Times New Roman" w:eastAsia="Times New Roman" w:hAnsi="Times New Roman"/>
          <w:color w:val="000000"/>
          <w:sz w:val="24"/>
          <w:szCs w:val="24"/>
        </w:rPr>
        <w:t xml:space="preserve"> is the set of held-out vendor B patients, uncorrupted. It provides the clean baseline.</w:t>
      </w:r>
    </w:p>
    <w:p>
      <w:pPr>
        <w:spacing w:after="0" w:before="120" w:line="360" w:lineRule="auto"/>
        <w:ind w:firstLine="0"/>
        <w:jc w:val="both"/>
      </w:pPr>
      <w:r>
        <w:rPr>
          <w:rFonts w:ascii="Times New Roman" w:cs="Times New Roman" w:eastAsia="Times New Roman" w:hAnsi="Times New Roman"/>
          <w:i/>
          <w:iCs/>
          <w:color w:val="000000"/>
          <w:sz w:val="24"/>
          <w:szCs w:val="24"/>
        </w:rPr>
        <w:t xml:space="preserve">T</w:t>
      </w:r>
      <w:r>
        <w:rPr>
          <w:rFonts w:ascii="Times New Roman" w:cs="Times New Roman" w:eastAsia="Times New Roman" w:hAnsi="Times New Roman"/>
          <w:color w:val="000000"/>
          <w:sz w:val="24"/>
          <w:szCs w:val="24"/>
          <w:vertAlign w:val="subscript"/>
        </w:rPr>
        <w:t xml:space="preserve">B</w:t>
      </w:r>
      <w:r>
        <w:rPr>
          <w:rFonts w:ascii="Times New Roman" w:cs="Times New Roman" w:eastAsia="Times New Roman" w:hAnsi="Times New Roman"/>
          <w:i/>
          <w:iCs/>
          <w:color w:val="000000"/>
          <w:sz w:val="24"/>
          <w:szCs w:val="24"/>
          <w:vertAlign w:val="superscript"/>
        </w:rPr>
        <w:t xml:space="preserve">c,s</w:t>
      </w:r>
      <w:r>
        <w:rPr>
          <w:rFonts w:ascii="Times New Roman" w:cs="Times New Roman" w:eastAsia="Times New Roman" w:hAnsi="Times New Roman"/>
          <w:color w:val="000000"/>
          <w:sz w:val="24"/>
          <w:szCs w:val="24"/>
        </w:rPr>
        <w:t xml:space="preserve"> is the same set of patients after corruption </w:t>
      </w:r>
      <w:r>
        <w:rPr>
          <w:rFonts w:ascii="Times New Roman" w:cs="Times New Roman" w:eastAsia="Times New Roman" w:hAnsi="Times New Roman"/>
          <w:i/>
          <w:iCs/>
          <w:color w:val="000000"/>
          <w:sz w:val="24"/>
          <w:szCs w:val="24"/>
        </w:rPr>
        <w:t xml:space="preserve">c</w:t>
      </w:r>
      <w:r>
        <w:rPr>
          <w:rFonts w:ascii="Times New Roman" w:cs="Times New Roman" w:eastAsia="Times New Roman" w:hAnsi="Times New Roman"/>
          <w:color w:val="000000"/>
          <w:sz w:val="24"/>
          <w:szCs w:val="24"/>
        </w:rPr>
        <w:t xml:space="preserve"> at severity level </w:t>
      </w:r>
      <w:r>
        <w:rPr>
          <w:rFonts w:ascii="Times New Roman" w:cs="Times New Roman" w:eastAsia="Times New Roman" w:hAnsi="Times New Roman"/>
          <w:i/>
          <w:iCs/>
          <w:color w:val="000000"/>
          <w:sz w:val="24"/>
          <w:szCs w:val="24"/>
        </w:rPr>
        <w:t xml:space="preserve">s</w:t>
      </w:r>
      <w:r>
        <w:rPr>
          <w:rFonts w:ascii="Times New Roman" w:cs="Times New Roman" w:eastAsia="Times New Roman" w:hAnsi="Times New Roman"/>
          <w:color w:val="000000"/>
          <w:sz w:val="24"/>
          <w:szCs w:val="24"/>
        </w:rPr>
        <w:t xml:space="preserve">, generated with TorchIO (Pérez-García et al., 2021). There are </w:t>
      </w:r>
      <w:r>
        <w:rPr>
          <w:rFonts w:ascii="Times New Roman" w:cs="Times New Roman" w:eastAsia="Times New Roman" w:hAnsi="Times New Roman"/>
          <w:i/>
          <w:iCs/>
          <w:color w:val="000000"/>
          <w:sz w:val="24"/>
          <w:szCs w:val="24"/>
        </w:rPr>
        <w:t xml:space="preserve">K</w:t>
      </w:r>
      <w:r>
        <w:rPr>
          <w:rFonts w:ascii="Times New Roman" w:cs="Times New Roman" w:eastAsia="Times New Roman" w:hAnsi="Times New Roman"/>
          <w:color w:val="000000"/>
          <w:sz w:val="24"/>
          <w:szCs w:val="24"/>
        </w:rPr>
        <w:t xml:space="preserve"> = 4 corruption families (bias field, blur, gamma, resolution) and </w:t>
      </w:r>
      <w:r>
        <w:rPr>
          <w:rFonts w:ascii="Times New Roman" w:cs="Times New Roman" w:eastAsia="Times New Roman" w:hAnsi="Times New Roman"/>
          <w:i/>
          <w:iCs/>
          <w:color w:val="000000"/>
          <w:sz w:val="24"/>
          <w:szCs w:val="24"/>
        </w:rPr>
        <w:t xml:space="preserve">S</w:t>
      </w:r>
      <w:r>
        <w:rPr>
          <w:rFonts w:ascii="Times New Roman" w:cs="Times New Roman" w:eastAsia="Times New Roman" w:hAnsi="Times New Roman"/>
          <w:color w:val="000000"/>
          <w:sz w:val="24"/>
          <w:szCs w:val="24"/>
        </w:rPr>
        <w:t xml:space="preserve"> severity levels per family, both fixed in Section 6.3.</w:t>
      </w:r>
    </w:p>
    <w:p>
      <w:pPr>
        <w:spacing w:after="0" w:before="120" w:line="360" w:lineRule="auto"/>
        <w:ind w:firstLine="0"/>
        <w:jc w:val="both"/>
      </w:pPr>
      <w:r>
        <w:rPr>
          <w:rFonts w:ascii="Times New Roman" w:cs="Times New Roman" w:eastAsia="Times New Roman" w:hAnsi="Times New Roman"/>
          <w:i/>
          <w:iCs/>
          <w:color w:val="000000"/>
          <w:sz w:val="24"/>
          <w:szCs w:val="24"/>
        </w:rPr>
        <w:t xml:space="preserve">T</w:t>
      </w:r>
      <w:r>
        <w:rPr>
          <w:rFonts w:ascii="Times New Roman" w:cs="Times New Roman" w:eastAsia="Times New Roman" w:hAnsi="Times New Roman"/>
          <w:i/>
          <w:iCs/>
          <w:color w:val="000000"/>
          <w:sz w:val="24"/>
          <w:szCs w:val="24"/>
          <w:vertAlign w:val="subscript"/>
        </w:rPr>
        <w:t xml:space="preserve">v</w:t>
      </w:r>
      <w:r>
        <w:rPr>
          <w:rFonts w:ascii="Times New Roman" w:cs="Times New Roman" w:eastAsia="Times New Roman" w:hAnsi="Times New Roman"/>
          <w:color w:val="000000"/>
          <w:sz w:val="24"/>
          <w:szCs w:val="24"/>
        </w:rPr>
        <w:t xml:space="preserve"> is the set of labelled patients from unseen vendor </w:t>
      </w:r>
      <w:r>
        <w:rPr>
          <w:rFonts w:ascii="Times New Roman" w:cs="Times New Roman" w:eastAsia="Times New Roman" w:hAnsi="Times New Roman"/>
          <w:i/>
          <w:iCs/>
          <w:color w:val="000000"/>
          <w:sz w:val="24"/>
          <w:szCs w:val="24"/>
        </w:rPr>
        <w:t xml:space="preserve">v</w:t>
      </w:r>
      <w:r>
        <w:rPr>
          <w:rFonts w:ascii="Times New Roman" w:cs="Times New Roman" w:eastAsia="Times New Roman" w:hAnsi="Times New Roman"/>
          <w:color w:val="000000"/>
          <w:sz w:val="24"/>
          <w:szCs w:val="24"/>
        </w:rPr>
        <w:t xml:space="preserve">, with </w:t>
      </w:r>
      <w:r>
        <w:rPr>
          <w:rFonts w:ascii="Times New Roman" w:cs="Times New Roman" w:eastAsia="Times New Roman" w:hAnsi="Times New Roman"/>
          <w:i/>
          <w:iCs/>
          <w:color w:val="000000"/>
          <w:sz w:val="24"/>
          <w:szCs w:val="24"/>
        </w:rPr>
        <w:t xml:space="preserve">v</w:t>
      </w:r>
      <w:r>
        <w:rPr>
          <w:rFonts w:ascii="Times New Roman" w:cs="Times New Roman" w:eastAsia="Times New Roman" w:hAnsi="Times New Roman"/>
          <w:color w:val="000000"/>
          <w:sz w:val="24"/>
          <w:szCs w:val="24"/>
        </w:rPr>
        <w:t xml:space="preserve"> in {A, C, D}.</w:t>
      </w:r>
    </w:p>
    <w:p>
      <w:pPr>
        <w:spacing w:after="0" w:before="120" w:line="360" w:lineRule="auto"/>
        <w:ind w:firstLine="0"/>
        <w:jc w:val="both"/>
      </w:pPr>
      <w:r>
        <w:rPr>
          <w:rFonts w:ascii="Times New Roman" w:cs="Times New Roman" w:eastAsia="Times New Roman" w:hAnsi="Times New Roman"/>
          <w:color w:val="000000"/>
          <w:sz w:val="24"/>
          <w:szCs w:val="24"/>
        </w:rPr>
        <w:t xml:space="preserve">The corrupted sets are generated once, with fixed random seeds, and stored. Every model is therefore scored on identical inputs. The simulated arm is also paired with the clean baseline case by case, so a simulated drop cannot be an effect of case mix. The real arm cannot be paired in this way, since each vendor scanned different patients. That asymmetry is one reason the per-vendor breakdown (C3) is reported.</w:t>
      </w:r>
    </w:p>
    <w:p>
      <w:pPr>
        <w:pStyle w:val="Heading3"/>
        <w:keepNext/>
        <w:spacing w:after="0" w:before="120" w:line="360" w:lineRule="auto"/>
        <w:jc w:val="both"/>
      </w:pPr>
      <w:r>
        <w:rPr>
          <w:rFonts w:ascii="Times New Roman" w:cs="Times New Roman" w:eastAsia="Times New Roman" w:hAnsi="Times New Roman"/>
          <w:i/>
          <w:iCs/>
          <w:color w:val="000000"/>
          <w:sz w:val="24"/>
          <w:szCs w:val="24"/>
        </w:rPr>
        <w:t xml:space="preserve">6.6.2. Base Segmentation Measure</w:t>
      </w:r>
    </w:p>
    <w:p>
      <w:pPr>
        <w:spacing w:after="0" w:before="120" w:line="360" w:lineRule="auto"/>
        <w:ind w:firstLine="0"/>
        <w:jc w:val="both"/>
      </w:pPr>
      <w:r>
        <w:rPr>
          <w:rFonts w:ascii="Times New Roman" w:cs="Times New Roman" w:eastAsia="Times New Roman" w:hAnsi="Times New Roman"/>
          <w:color w:val="000000"/>
          <w:sz w:val="24"/>
          <w:szCs w:val="24"/>
        </w:rPr>
        <w:t xml:space="preserve">Segmentation accuracy is measured with the Dice similarity coefficient (Dice, 1945). For a structure </w:t>
      </w:r>
      <w:r>
        <w:rPr>
          <w:rFonts w:ascii="Times New Roman" w:cs="Times New Roman" w:eastAsia="Times New Roman" w:hAnsi="Times New Roman"/>
          <w:i/>
          <w:iCs/>
          <w:color w:val="000000"/>
          <w:sz w:val="24"/>
          <w:szCs w:val="24"/>
        </w:rPr>
        <w:t xml:space="preserve">k</w:t>
      </w:r>
      <w:r>
        <w:rPr>
          <w:rFonts w:ascii="Times New Roman" w:cs="Times New Roman" w:eastAsia="Times New Roman" w:hAnsi="Times New Roman"/>
          <w:color w:val="000000"/>
          <w:sz w:val="24"/>
          <w:szCs w:val="24"/>
        </w:rPr>
        <w:t xml:space="preserve">, let TP</w:t>
      </w:r>
      <w:r>
        <w:rPr>
          <w:rFonts w:ascii="Times New Roman" w:cs="Times New Roman" w:eastAsia="Times New Roman" w:hAnsi="Times New Roman"/>
          <w:i/>
          <w:iCs/>
          <w:color w:val="000000"/>
          <w:sz w:val="24"/>
          <w:szCs w:val="24"/>
          <w:vertAlign w:val="subscript"/>
        </w:rPr>
        <w:t xml:space="preserve">k</w:t>
      </w:r>
      <w:r>
        <w:rPr>
          <w:rFonts w:ascii="Times New Roman" w:cs="Times New Roman" w:eastAsia="Times New Roman" w:hAnsi="Times New Roman"/>
          <w:color w:val="000000"/>
          <w:sz w:val="24"/>
          <w:szCs w:val="24"/>
        </w:rPr>
        <w:t xml:space="preserve">, FP</w:t>
      </w:r>
      <w:r>
        <w:rPr>
          <w:rFonts w:ascii="Times New Roman" w:cs="Times New Roman" w:eastAsia="Times New Roman" w:hAnsi="Times New Roman"/>
          <w:i/>
          <w:iCs/>
          <w:color w:val="000000"/>
          <w:sz w:val="24"/>
          <w:szCs w:val="24"/>
          <w:vertAlign w:val="subscript"/>
        </w:rPr>
        <w:t xml:space="preserve">k</w:t>
      </w:r>
      <w:r>
        <w:rPr>
          <w:rFonts w:ascii="Times New Roman" w:cs="Times New Roman" w:eastAsia="Times New Roman" w:hAnsi="Times New Roman"/>
          <w:color w:val="000000"/>
          <w:sz w:val="24"/>
          <w:szCs w:val="24"/>
        </w:rPr>
        <w:t xml:space="preserve"> and FN</w:t>
      </w:r>
      <w:r>
        <w:rPr>
          <w:rFonts w:ascii="Times New Roman" w:cs="Times New Roman" w:eastAsia="Times New Roman" w:hAnsi="Times New Roman"/>
          <w:i/>
          <w:iCs/>
          <w:color w:val="000000"/>
          <w:sz w:val="24"/>
          <w:szCs w:val="24"/>
          <w:vertAlign w:val="subscript"/>
        </w:rPr>
        <w:t xml:space="preserve">k</w:t>
      </w:r>
      <w:r>
        <w:rPr>
          <w:rFonts w:ascii="Times New Roman" w:cs="Times New Roman" w:eastAsia="Times New Roman" w:hAnsi="Times New Roman"/>
          <w:color w:val="000000"/>
          <w:sz w:val="24"/>
          <w:szCs w:val="24"/>
        </w:rPr>
        <w:t xml:space="preserve"> be the numbers of true positive, false positive and false negative voxels of the prediction when compared with the reference annotation. Then:</w:t>
      </w:r>
    </w:p>
    <w:p>
      <w:pPr>
        <w:tabs>
          <w:tab w:val="center" w:pos="4513"/>
          <w:tab w:val="right" w:pos="9026"/>
        </w:tabs>
        <w:spacing w:after="0" w:before="120" w:line="360" w:lineRule="auto"/>
      </w:pPr>
      <w:r>
        <w:rPr>
          <w:rFonts w:ascii="Times New Roman" w:cs="Times New Roman" w:eastAsia="Times New Roman" w:hAnsi="Times New Roman"/>
          <w:sz w:val="24"/>
          <w:szCs w:val="24"/>
        </w:rPr>
        <w:tab/>
      </w:r>
      <m:oMath>
        <m:sSub>
          <m:sSubPr/>
          <m:e>
            <m:r>
              <m:t>DSC</m:t>
            </m:r>
          </m:e>
          <m:sub>
            <m:r>
              <m:t>k</m:t>
            </m:r>
          </m:sub>
        </m:sSub>
        <m:r>
          <m:t> = </m:t>
        </m:r>
        <m:f>
          <m:num>
            <m:r>
              <m:t>2 </m:t>
            </m:r>
            <m:sSub>
              <m:sSubPr/>
              <m:e>
                <m:r>
                  <m:t>TP</m:t>
                </m:r>
              </m:e>
              <m:sub>
                <m:r>
                  <m:t>k</m:t>
                </m:r>
              </m:sub>
            </m:sSub>
          </m:num>
          <m:den>
            <m:r>
              <m:t>2 </m:t>
            </m:r>
            <m:sSub>
              <m:sSubPr/>
              <m:e>
                <m:r>
                  <m:t>TP</m:t>
                </m:r>
              </m:e>
              <m:sub>
                <m:r>
                  <m:t>k</m:t>
                </m:r>
              </m:sub>
            </m:sSub>
            <m:r>
              <m:t> + </m:t>
            </m:r>
            <m:sSub>
              <m:sSubPr/>
              <m:e>
                <m:r>
                  <m:t>FP</m:t>
                </m:r>
              </m:e>
              <m:sub>
                <m:r>
                  <m:t>k</m:t>
                </m:r>
              </m:sub>
            </m:sSub>
            <m:r>
              <m:t> + </m:t>
            </m:r>
            <m:sSub>
              <m:sSubPr/>
              <m:e>
                <m:r>
                  <m:t>FN</m:t>
                </m:r>
              </m:e>
              <m:sub>
                <m:r>
                  <m:t>k</m:t>
                </m:r>
              </m:sub>
            </m:sSub>
          </m:den>
        </m:f>
      </m:oMath>
      <w:r>
        <w:rPr>
          <w:rFonts w:ascii="Times New Roman" w:cs="Times New Roman" w:eastAsia="Times New Roman" w:hAnsi="Times New Roman"/>
          <w:sz w:val="24"/>
          <w:szCs w:val="24"/>
        </w:rPr>
        <w:tab/>
        <w:t xml:space="preserve">(1)</w:t>
      </w:r>
    </w:p>
    <w:p>
      <w:pPr>
        <w:spacing w:after="0" w:before="120" w:line="360" w:lineRule="auto"/>
        <w:ind w:firstLine="0"/>
        <w:jc w:val="both"/>
      </w:pPr>
      <w:r>
        <w:rPr>
          <w:rFonts w:ascii="Times New Roman" w:cs="Times New Roman" w:eastAsia="Times New Roman" w:hAnsi="Times New Roman"/>
          <w:color w:val="000000"/>
          <w:sz w:val="24"/>
          <w:szCs w:val="24"/>
        </w:rPr>
        <w:t xml:space="preserve">The three annotated structures are the left ventricle (LV), the left ventricular myocardium (MYO) and the right ventricle (RV). The models are two-dimensional, but slice predictions are stacked into a volume before scoring, so that a score describes a whole heart at one cardiac phase and not a single slice. Each patient contributes two annotated volumes, at end-diastole (ED) and end-systole (ES). With </w:t>
      </w:r>
      <w:r>
        <w:rPr>
          <w:rFonts w:ascii="Times New Roman" w:cs="Times New Roman" w:eastAsia="Times New Roman" w:hAnsi="Times New Roman"/>
          <w:i/>
          <w:iCs/>
          <w:color w:val="000000"/>
          <w:sz w:val="24"/>
          <w:szCs w:val="24"/>
        </w:rPr>
        <w:t xml:space="preserve">k</w:t>
      </w:r>
      <w:r>
        <w:rPr>
          <w:rFonts w:ascii="Times New Roman" w:cs="Times New Roman" w:eastAsia="Times New Roman" w:hAnsi="Times New Roman"/>
          <w:color w:val="000000"/>
          <w:sz w:val="24"/>
          <w:szCs w:val="24"/>
        </w:rPr>
        <w:t xml:space="preserve"> = 1, 2, 3 indexing the three structures and φ = 1, 2 the two phases, the case-level score of model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on patient </w:t>
      </w:r>
      <w:r>
        <w:rPr>
          <w:rFonts w:ascii="Times New Roman" w:cs="Times New Roman" w:eastAsia="Times New Roman" w:hAnsi="Times New Roman"/>
          <w:i/>
          <w:iCs/>
          <w:color w:val="000000"/>
          <w:sz w:val="24"/>
          <w:szCs w:val="24"/>
        </w:rPr>
        <w:t xml:space="preserve">i</w:t>
      </w:r>
      <w:r>
        <w:rPr>
          <w:rFonts w:ascii="Times New Roman" w:cs="Times New Roman" w:eastAsia="Times New Roman" w:hAnsi="Times New Roman"/>
          <w:color w:val="000000"/>
          <w:sz w:val="24"/>
          <w:szCs w:val="24"/>
        </w:rPr>
        <w:t xml:space="preserve"> is the mean of the six Dice values:</w:t>
      </w:r>
    </w:p>
    <w:p>
      <w:pPr>
        <w:tabs>
          <w:tab w:val="center" w:pos="4513"/>
          <w:tab w:val="right" w:pos="9026"/>
        </w:tabs>
        <w:spacing w:after="0" w:before="120" w:line="360" w:lineRule="auto"/>
      </w:pPr>
      <w:r>
        <w:rPr>
          <w:rFonts w:ascii="Times New Roman" w:cs="Times New Roman" w:eastAsia="Times New Roman" w:hAnsi="Times New Roman"/>
          <w:sz w:val="24"/>
          <w:szCs w:val="24"/>
        </w:rPr>
        <w:tab/>
      </w:r>
      <m:oMath>
        <m:sSub>
          <m:sSubPr/>
          <m:e>
            <m:r>
              <m:t>D</m:t>
            </m:r>
          </m:e>
          <m:sub>
            <m:r>
              <m:t>m,i</m:t>
            </m:r>
          </m:sub>
        </m:sSub>
        <m:r>
          <m:t> = </m:t>
        </m:r>
        <m:f>
          <m:num>
            <m:r>
              <m:t>1</m:t>
            </m:r>
          </m:num>
          <m:den>
            <m:r>
              <m:t>6</m:t>
            </m:r>
          </m:den>
        </m:f>
        <m:nary>
          <m:naryPr>
            <m:chr m:val="∑"/>
            <m:limLoc m:val="undOvr"/>
          </m:naryPr>
          <m:sub>
            <m:r>
              <m:t>φ = 1</m:t>
            </m:r>
          </m:sub>
          <m:sup>
            <m:r>
              <m:t>2</m:t>
            </m:r>
          </m:sup>
          <m:e>
            <m:nary>
              <m:naryPr>
                <m:chr m:val="∑"/>
                <m:limLoc m:val="undOvr"/>
              </m:naryPr>
              <m:sub>
                <m:r>
                  <m:t>k = 1</m:t>
                </m:r>
              </m:sub>
              <m:sup>
                <m:r>
                  <m:t>3</m:t>
                </m:r>
              </m:sup>
              <m:e>
                <m:sSub>
                  <m:sSubPr/>
                  <m:e>
                    <m:r>
                      <m:t>DSC</m:t>
                    </m:r>
                  </m:e>
                  <m:sub>
                    <m:r>
                      <m:t>k,φ</m:t>
                    </m:r>
                  </m:sub>
                </m:sSub>
                <m:r>
                  <m:t>(m, i)</m:t>
                </m:r>
              </m:e>
            </m:nary>
          </m:e>
        </m:nary>
      </m:oMath>
      <w:r>
        <w:rPr>
          <w:rFonts w:ascii="Times New Roman" w:cs="Times New Roman" w:eastAsia="Times New Roman" w:hAnsi="Times New Roman"/>
          <w:sz w:val="24"/>
          <w:szCs w:val="24"/>
        </w:rPr>
        <w:tab/>
        <w:t xml:space="preserve">(2)</w:t>
      </w:r>
    </w:p>
    <w:p>
      <w:pPr>
        <w:spacing w:after="0" w:before="120" w:line="360" w:lineRule="auto"/>
        <w:ind w:firstLine="0"/>
        <w:jc w:val="both"/>
      </w:pPr>
      <w:r>
        <w:rPr>
          <w:rFonts w:ascii="Times New Roman" w:cs="Times New Roman" w:eastAsia="Times New Roman" w:hAnsi="Times New Roman"/>
          <w:color w:val="000000"/>
          <w:sz w:val="24"/>
          <w:szCs w:val="24"/>
        </w:rPr>
        <w:t xml:space="preserve">Averaging the structures within a case follows Zenk et al. (2025), who take the mean Dice over all classes on the same dataset. The two phases of a patient are averaged before any averaging across patients, because two volumes of the same heart are not independent observations. Maier-Hein et al. (2024) recommend computing metric values per image first and aggregating afterwards, so that the hierarchical structure of the data is respected. The model-level score on an evaluation set </w:t>
      </w:r>
      <w:r>
        <w:rPr>
          <w:rFonts w:ascii="Times New Roman" w:cs="Times New Roman" w:eastAsia="Times New Roman" w:hAnsi="Times New Roman"/>
          <w:i/>
          <w:iCs/>
          <w:color w:val="000000"/>
          <w:sz w:val="24"/>
          <w:szCs w:val="24"/>
        </w:rPr>
        <w:t xml:space="preserve">T</w:t>
      </w:r>
      <w:r>
        <w:rPr>
          <w:rFonts w:ascii="Times New Roman" w:cs="Times New Roman" w:eastAsia="Times New Roman" w:hAnsi="Times New Roman"/>
          <w:color w:val="000000"/>
          <w:sz w:val="24"/>
          <w:szCs w:val="24"/>
        </w:rPr>
        <w:t xml:space="preserve"> containing </w:t>
      </w:r>
      <w:r>
        <w:rPr>
          <w:rFonts w:ascii="Times New Roman" w:cs="Times New Roman" w:eastAsia="Times New Roman" w:hAnsi="Times New Roman"/>
          <w:i/>
          <w:iCs/>
          <w:color w:val="000000"/>
          <w:sz w:val="24"/>
          <w:szCs w:val="24"/>
        </w:rPr>
        <w:t xml:space="preserve">N</w:t>
      </w:r>
      <w:r>
        <w:rPr>
          <w:rFonts w:ascii="Times New Roman" w:cs="Times New Roman" w:eastAsia="Times New Roman" w:hAnsi="Times New Roman"/>
          <w:i/>
          <w:iCs/>
          <w:color w:val="000000"/>
          <w:sz w:val="24"/>
          <w:szCs w:val="24"/>
          <w:vertAlign w:val="subscript"/>
        </w:rPr>
        <w:t xml:space="preserve">T</w:t>
      </w:r>
      <w:r>
        <w:rPr>
          <w:rFonts w:ascii="Times New Roman" w:cs="Times New Roman" w:eastAsia="Times New Roman" w:hAnsi="Times New Roman"/>
          <w:color w:val="000000"/>
          <w:sz w:val="24"/>
          <w:szCs w:val="24"/>
        </w:rPr>
        <w:t xml:space="preserve"> patients is then:</w:t>
      </w:r>
    </w:p>
    <w:p>
      <w:pPr>
        <w:tabs>
          <w:tab w:val="center" w:pos="4513"/>
          <w:tab w:val="right" w:pos="9026"/>
        </w:tabs>
        <w:spacing w:after="0" w:before="120" w:line="360" w:lineRule="auto"/>
      </w:pPr>
      <w:r>
        <w:rPr>
          <w:rFonts w:ascii="Times New Roman" w:cs="Times New Roman" w:eastAsia="Times New Roman" w:hAnsi="Times New Roman"/>
          <w:sz w:val="24"/>
          <w:szCs w:val="24"/>
        </w:rPr>
        <w:tab/>
      </w:r>
      <m:oMath>
        <m:sSub>
          <m:sSubPr/>
          <m:e>
            <m:r>
              <m:t>D</m:t>
            </m:r>
          </m:e>
          <m:sub>
            <m:r>
              <m:t>m</m:t>
            </m:r>
          </m:sub>
        </m:sSub>
        <m:r>
          <m:t>(T) = </m:t>
        </m:r>
        <m:f>
          <m:num>
            <m:r>
              <m:t>1</m:t>
            </m:r>
          </m:num>
          <m:den>
            <m:sSub>
              <m:sSubPr/>
              <m:e>
                <m:r>
                  <m:t>N</m:t>
                </m:r>
              </m:e>
              <m:sub>
                <m:r>
                  <m:t>T</m:t>
                </m:r>
              </m:sub>
            </m:sSub>
          </m:den>
        </m:f>
        <m:nary>
          <m:naryPr>
            <m:chr m:val="∑"/>
            <m:limLoc m:val="undOvr"/>
          </m:naryPr>
          <m:sub>
            <m:r>
              <m:t>i = 1</m:t>
            </m:r>
          </m:sub>
          <m:sup>
            <m:sSub>
              <m:sSubPr/>
              <m:e>
                <m:r>
                  <m:t>N</m:t>
                </m:r>
              </m:e>
              <m:sub>
                <m:r>
                  <m:t>T</m:t>
                </m:r>
              </m:sub>
            </m:sSub>
          </m:sup>
          <m:e>
            <m:sSub>
              <m:sSubPr/>
              <m:e>
                <m:r>
                  <m:t>D</m:t>
                </m:r>
              </m:e>
              <m:sub>
                <m:r>
                  <m:t>m,i</m:t>
                </m:r>
              </m:sub>
            </m:sSub>
          </m:e>
        </m:nary>
      </m:oMath>
      <w:r>
        <w:rPr>
          <w:rFonts w:ascii="Times New Roman" w:cs="Times New Roman" w:eastAsia="Times New Roman" w:hAnsi="Times New Roman"/>
          <w:sz w:val="24"/>
          <w:szCs w:val="24"/>
        </w:rPr>
        <w:tab/>
        <w:t xml:space="preserve">(3)</w:t>
      </w:r>
    </w:p>
    <w:p>
      <w:pPr>
        <w:spacing w:after="0" w:before="120" w:line="360" w:lineRule="auto"/>
        <w:ind w:firstLine="0"/>
        <w:jc w:val="both"/>
      </w:pPr>
      <w:r>
        <w:rPr>
          <w:rFonts w:ascii="Times New Roman" w:cs="Times New Roman" w:eastAsia="Times New Roman" w:hAnsi="Times New Roman"/>
          <w:color w:val="000000"/>
          <w:sz w:val="24"/>
          <w:szCs w:val="24"/>
        </w:rPr>
        <w:t xml:space="preserve">The Jaccard index is not reported alongside Dice. It is a monotone function of Dice and produces the same ranking of systems, so it adds no information to an analysis built on ranks (Taha &amp; Hanbury, 2015).</w:t>
      </w:r>
    </w:p>
    <w:p>
      <w:pPr>
        <w:pStyle w:val="Heading3"/>
        <w:keepNext/>
        <w:spacing w:after="0" w:before="120" w:line="360" w:lineRule="auto"/>
        <w:jc w:val="both"/>
      </w:pPr>
      <w:r>
        <w:rPr>
          <w:rFonts w:ascii="Times New Roman" w:cs="Times New Roman" w:eastAsia="Times New Roman" w:hAnsi="Times New Roman"/>
          <w:i/>
          <w:iCs/>
          <w:color w:val="000000"/>
          <w:sz w:val="24"/>
          <w:szCs w:val="24"/>
        </w:rPr>
        <w:t xml:space="preserve">6.6.3. Degradation Under Simulated and Real Shift</w:t>
      </w:r>
    </w:p>
    <w:p>
      <w:pPr>
        <w:spacing w:after="0" w:before="120" w:line="360" w:lineRule="auto"/>
        <w:ind w:firstLine="0"/>
        <w:jc w:val="both"/>
      </w:pPr>
      <w:r>
        <w:rPr>
          <w:rFonts w:ascii="Times New Roman" w:cs="Times New Roman" w:eastAsia="Times New Roman" w:hAnsi="Times New Roman"/>
          <w:color w:val="000000"/>
          <w:sz w:val="24"/>
          <w:szCs w:val="24"/>
        </w:rPr>
        <w:t xml:space="preserve">Two degradation values are computed for every model. The simulated drop is the clean baseline minus the mean score over all </w:t>
      </w:r>
      <w:r>
        <w:rPr>
          <w:rFonts w:ascii="Times New Roman" w:cs="Times New Roman" w:eastAsia="Times New Roman" w:hAnsi="Times New Roman"/>
          <w:i/>
          <w:iCs/>
          <w:color w:val="000000"/>
          <w:sz w:val="24"/>
          <w:szCs w:val="24"/>
        </w:rPr>
        <w:t xml:space="preserve">K</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i/>
          <w:iCs/>
          <w:color w:val="000000"/>
          <w:sz w:val="24"/>
          <w:szCs w:val="24"/>
        </w:rPr>
        <w:t xml:space="preserve">S</w:t>
      </w:r>
      <w:r>
        <w:rPr>
          <w:rFonts w:ascii="Times New Roman" w:cs="Times New Roman" w:eastAsia="Times New Roman" w:hAnsi="Times New Roman"/>
          <w:color w:val="000000"/>
          <w:sz w:val="24"/>
          <w:szCs w:val="24"/>
        </w:rPr>
        <w:t xml:space="preserve"> corrupted conditions:</w:t>
      </w:r>
    </w:p>
    <w:p>
      <w:pPr>
        <w:tabs>
          <w:tab w:val="center" w:pos="4513"/>
          <w:tab w:val="right" w:pos="9026"/>
        </w:tabs>
        <w:spacing w:after="0" w:before="120" w:line="360" w:lineRule="auto"/>
      </w:pPr>
      <w:r>
        <w:rPr>
          <w:rFonts w:ascii="Times New Roman" w:cs="Times New Roman" w:eastAsia="Times New Roman" w:hAnsi="Times New Roman"/>
          <w:sz w:val="24"/>
          <w:szCs w:val="24"/>
        </w:rPr>
        <w:tab/>
      </w:r>
      <m:oMath>
        <m:sSub>
          <m:sSubPr/>
          <m:e>
            <m:r>
              <m:t>Δ</m:t>
            </m:r>
          </m:e>
          <m:sub>
            <m:r>
              <m:t>s</m:t>
            </m:r>
            <m:r>
              <m:t>i</m:t>
            </m:r>
            <m:r>
              <m:t>m</m:t>
            </m:r>
          </m:sub>
        </m:sSub>
        <m:r>
          <m:t>(m) = </m:t>
        </m:r>
        <m:sSub>
          <m:sSubPr/>
          <m:e>
            <m:r>
              <m:t>D</m:t>
            </m:r>
          </m:e>
          <m:sub>
            <m:r>
              <m:t>m</m:t>
            </m:r>
          </m:sub>
        </m:sSub>
        <m:r>
          <m:t>(</m:t>
        </m:r>
        <m:sSub>
          <m:sSubPr/>
          <m:e>
            <m:r>
              <m:t>T</m:t>
            </m:r>
          </m:e>
          <m:sub>
            <m:r>
              <m:t>B</m:t>
            </m:r>
          </m:sub>
        </m:sSub>
        <m:r>
          <m:t>) − </m:t>
        </m:r>
        <m:f>
          <m:num>
            <m:r>
              <m:t>1</m:t>
            </m:r>
          </m:num>
          <m:den>
            <m:r>
              <m:t>K S</m:t>
            </m:r>
          </m:den>
        </m:f>
        <m:nary>
          <m:naryPr>
            <m:chr m:val="∑"/>
            <m:limLoc m:val="undOvr"/>
          </m:naryPr>
          <m:sub>
            <m:r>
              <m:t>c = 1</m:t>
            </m:r>
          </m:sub>
          <m:sup>
            <m:r>
              <m:t>K</m:t>
            </m:r>
          </m:sup>
          <m:e>
            <m:nary>
              <m:naryPr>
                <m:chr m:val="∑"/>
                <m:limLoc m:val="undOvr"/>
              </m:naryPr>
              <m:sub>
                <m:r>
                  <m:t>s = 1</m:t>
                </m:r>
              </m:sub>
              <m:sup>
                <m:r>
                  <m:t>S</m:t>
                </m:r>
              </m:sup>
              <m:e>
                <m:sSub>
                  <m:sSubPr/>
                  <m:e>
                    <m:r>
                      <m:t>D</m:t>
                    </m:r>
                  </m:e>
                  <m:sub>
                    <m:r>
                      <m:t>m</m:t>
                    </m:r>
                  </m:sub>
                </m:sSub>
                <m:r>
                  <m:t>(</m:t>
                </m:r>
                <m:sSubSup>
                  <m:sSubSupPr/>
                  <m:e>
                    <m:r>
                      <m:t>T</m:t>
                    </m:r>
                  </m:e>
                  <m:sub>
                    <m:r>
                      <m:t>B</m:t>
                    </m:r>
                  </m:sub>
                  <m:sup>
                    <m:r>
                      <m:t>c,s</m:t>
                    </m:r>
                  </m:sup>
                </m:sSubSup>
                <m:r>
                  <m:t>)</m:t>
                </m:r>
              </m:e>
            </m:nary>
          </m:e>
        </m:nary>
      </m:oMath>
      <w:r>
        <w:rPr>
          <w:rFonts w:ascii="Times New Roman" w:cs="Times New Roman" w:eastAsia="Times New Roman" w:hAnsi="Times New Roman"/>
          <w:sz w:val="24"/>
          <w:szCs w:val="24"/>
        </w:rPr>
        <w:tab/>
        <w:t xml:space="preserve">(4)</w:t>
      </w:r>
    </w:p>
    <w:p>
      <w:pPr>
        <w:spacing w:after="0" w:before="120" w:line="360" w:lineRule="auto"/>
        <w:ind w:firstLine="0"/>
        <w:jc w:val="both"/>
      </w:pPr>
      <w:r>
        <w:rPr>
          <w:rFonts w:ascii="Times New Roman" w:cs="Times New Roman" w:eastAsia="Times New Roman" w:hAnsi="Times New Roman"/>
          <w:color w:val="000000"/>
          <w:sz w:val="24"/>
          <w:szCs w:val="24"/>
        </w:rPr>
        <w:t xml:space="preserve">The real drop is the clean baseline minus the mean score over the three unseen vendors:</w:t>
      </w:r>
    </w:p>
    <w:p>
      <w:pPr>
        <w:tabs>
          <w:tab w:val="center" w:pos="4513"/>
          <w:tab w:val="right" w:pos="9026"/>
        </w:tabs>
        <w:spacing w:after="0" w:before="120" w:line="360" w:lineRule="auto"/>
      </w:pPr>
      <w:r>
        <w:rPr>
          <w:rFonts w:ascii="Times New Roman" w:cs="Times New Roman" w:eastAsia="Times New Roman" w:hAnsi="Times New Roman"/>
          <w:sz w:val="24"/>
          <w:szCs w:val="24"/>
        </w:rPr>
        <w:tab/>
      </w:r>
      <m:oMath>
        <m:sSub>
          <m:sSubPr/>
          <m:e>
            <m:r>
              <m:t>Δ</m:t>
            </m:r>
          </m:e>
          <m:sub>
            <m:r>
              <m:t>real</m:t>
            </m:r>
          </m:sub>
        </m:sSub>
        <m:r>
          <m:t>(m) = </m:t>
        </m:r>
        <m:sSub>
          <m:sSubPr/>
          <m:e>
            <m:r>
              <m:t>D</m:t>
            </m:r>
          </m:e>
          <m:sub>
            <m:r>
              <m:t>m</m:t>
            </m:r>
          </m:sub>
        </m:sSub>
        <m:r>
          <m:t>(</m:t>
        </m:r>
        <m:sSub>
          <m:sSubPr/>
          <m:e>
            <m:r>
              <m:t>T</m:t>
            </m:r>
          </m:e>
          <m:sub>
            <m:r>
              <m:t>B</m:t>
            </m:r>
          </m:sub>
        </m:sSub>
        <m:r>
          <m:t>) − </m:t>
        </m:r>
        <m:f>
          <m:num>
            <m:sSub>
              <m:sSubPr/>
              <m:e>
                <m:r>
                  <m:t>D</m:t>
                </m:r>
              </m:e>
              <m:sub>
                <m:r>
                  <m:t>m</m:t>
                </m:r>
              </m:sub>
            </m:sSub>
            <m:r>
              <m:t>(</m:t>
            </m:r>
            <m:sSub>
              <m:sSubPr/>
              <m:e>
                <m:r>
                  <m:t>T</m:t>
                </m:r>
              </m:e>
              <m:sub>
                <m:r>
                  <m:t>A</m:t>
                </m:r>
              </m:sub>
            </m:sSub>
            <m:r>
              <m:t>) + </m:t>
            </m:r>
            <m:sSub>
              <m:sSubPr/>
              <m:e>
                <m:r>
                  <m:t>D</m:t>
                </m:r>
              </m:e>
              <m:sub>
                <m:r>
                  <m:t>m</m:t>
                </m:r>
              </m:sub>
            </m:sSub>
            <m:r>
              <m:t>(</m:t>
            </m:r>
            <m:sSub>
              <m:sSubPr/>
              <m:e>
                <m:r>
                  <m:t>T</m:t>
                </m:r>
              </m:e>
              <m:sub>
                <m:r>
                  <m:t>C</m:t>
                </m:r>
              </m:sub>
            </m:sSub>
            <m:r>
              <m:t>) + </m:t>
            </m:r>
            <m:sSub>
              <m:sSubPr/>
              <m:e>
                <m:r>
                  <m:t>D</m:t>
                </m:r>
              </m:e>
              <m:sub>
                <m:r>
                  <m:t>m</m:t>
                </m:r>
              </m:sub>
            </m:sSub>
            <m:r>
              <m:t>(</m:t>
            </m:r>
            <m:sSub>
              <m:sSubPr/>
              <m:e>
                <m:r>
                  <m:t>T</m:t>
                </m:r>
              </m:e>
              <m:sub>
                <m:r>
                  <m:t>D</m:t>
                </m:r>
              </m:sub>
            </m:sSub>
            <m:r>
              <m:t>)</m:t>
            </m:r>
          </m:num>
          <m:den>
            <m:r>
              <m:t>3</m:t>
            </m:r>
          </m:den>
        </m:f>
      </m:oMath>
      <w:r>
        <w:rPr>
          <w:rFonts w:ascii="Times New Roman" w:cs="Times New Roman" w:eastAsia="Times New Roman" w:hAnsi="Times New Roman"/>
          <w:sz w:val="24"/>
          <w:szCs w:val="24"/>
        </w:rPr>
        <w:tab/>
        <w:t xml:space="preserve">(5)</w:t>
      </w:r>
    </w:p>
    <w:p>
      <w:pPr>
        <w:spacing w:after="0" w:before="120" w:line="360" w:lineRule="auto"/>
        <w:ind w:firstLine="0"/>
        <w:jc w:val="both"/>
      </w:pPr>
      <w:r>
        <w:rPr>
          <w:rFonts w:ascii="Times New Roman" w:cs="Times New Roman" w:eastAsia="Times New Roman" w:hAnsi="Times New Roman"/>
          <w:color w:val="000000"/>
          <w:sz w:val="24"/>
          <w:szCs w:val="24"/>
        </w:rPr>
        <w:t xml:space="preserve">Both are absolute drops in Dice, and positive values mean worse performance under shift. Subtracting the shifted score from the clean score is the convention used by Boone et al. (2023) for their degradation measures. Two aggregation choices are made deliberately. The corrupted conditions are averaged without weights, so that no weighting scheme can be tuned after results are seen. The vendors are averaged with equal weight, so that the vendor with the most test patients does not dominate the real drop.</w:t>
      </w:r>
    </w:p>
    <w:p>
      <w:pPr>
        <w:pStyle w:val="Heading3"/>
        <w:keepNext/>
        <w:spacing w:after="0" w:before="120" w:line="360" w:lineRule="auto"/>
        <w:jc w:val="both"/>
      </w:pPr>
      <w:r>
        <w:rPr>
          <w:rFonts w:ascii="Times New Roman" w:cs="Times New Roman" w:eastAsia="Times New Roman" w:hAnsi="Times New Roman"/>
          <w:i/>
          <w:iCs/>
          <w:color w:val="000000"/>
          <w:sz w:val="24"/>
          <w:szCs w:val="24"/>
        </w:rPr>
        <w:t xml:space="preserve">6.6.4. Final Metric</w:t>
      </w:r>
    </w:p>
    <w:p>
      <w:pPr>
        <w:spacing w:after="0" w:before="120" w:line="360" w:lineRule="auto"/>
        <w:ind w:firstLine="0"/>
        <w:jc w:val="both"/>
      </w:pPr>
      <w:r>
        <w:rPr>
          <w:rFonts w:ascii="Times New Roman" w:cs="Times New Roman" w:eastAsia="Times New Roman" w:hAnsi="Times New Roman"/>
          <w:color w:val="000000"/>
          <w:sz w:val="24"/>
          <w:szCs w:val="24"/>
        </w:rPr>
        <w:t xml:space="preserve">The final metric, denoted F, is the Spearman rank correlation between the simulated drop and the real drop across the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models (Spearman, 1904). Let </w:t>
      </w:r>
      <w:r>
        <w:rPr>
          <w:rFonts w:ascii="Times New Roman" w:cs="Times New Roman" w:eastAsia="Times New Roman" w:hAnsi="Times New Roman"/>
          <w:i/>
          <w:iCs/>
          <w:color w:val="000000"/>
          <w:sz w:val="24"/>
          <w:szCs w:val="24"/>
        </w:rPr>
        <w:t xml:space="preserve">a</w:t>
      </w:r>
      <w:r>
        <w:rPr>
          <w:rFonts w:ascii="Times New Roman" w:cs="Times New Roman" w:eastAsia="Times New Roman" w:hAnsi="Times New Roman"/>
          <w:i/>
          <w:iCs/>
          <w:color w:val="000000"/>
          <w:sz w:val="24"/>
          <w:szCs w:val="24"/>
          <w:vertAlign w:val="subscript"/>
        </w:rPr>
        <w:t xml:space="preserve">m</w:t>
      </w:r>
      <w:r>
        <w:rPr>
          <w:rFonts w:ascii="Times New Roman" w:cs="Times New Roman" w:eastAsia="Times New Roman" w:hAnsi="Times New Roman"/>
          <w:color w:val="000000"/>
          <w:sz w:val="24"/>
          <w:szCs w:val="24"/>
        </w:rPr>
        <w:t xml:space="preserve"> be the rank of Δ</w:t>
      </w:r>
      <w:r>
        <w:rPr>
          <w:rFonts w:ascii="Times New Roman" w:cs="Times New Roman" w:eastAsia="Times New Roman" w:hAnsi="Times New Roman"/>
          <w:color w:val="000000"/>
          <w:sz w:val="24"/>
          <w:szCs w:val="24"/>
          <w:vertAlign w:val="subscript"/>
        </w:rPr>
        <w:t xml:space="preserve">sim</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among the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models minus the mean rank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+ 1)/2, and let </w:t>
      </w:r>
      <w:r>
        <w:rPr>
          <w:rFonts w:ascii="Times New Roman" w:cs="Times New Roman" w:eastAsia="Times New Roman" w:hAnsi="Times New Roman"/>
          <w:i/>
          <w:iCs/>
          <w:color w:val="000000"/>
          <w:sz w:val="24"/>
          <w:szCs w:val="24"/>
        </w:rPr>
        <w:t xml:space="preserve">b</w:t>
      </w:r>
      <w:r>
        <w:rPr>
          <w:rFonts w:ascii="Times New Roman" w:cs="Times New Roman" w:eastAsia="Times New Roman" w:hAnsi="Times New Roman"/>
          <w:i/>
          <w:iCs/>
          <w:color w:val="000000"/>
          <w:sz w:val="24"/>
          <w:szCs w:val="24"/>
          <w:vertAlign w:val="subscript"/>
        </w:rPr>
        <w:t xml:space="preserve">m</w:t>
      </w:r>
      <w:r>
        <w:rPr>
          <w:rFonts w:ascii="Times New Roman" w:cs="Times New Roman" w:eastAsia="Times New Roman" w:hAnsi="Times New Roman"/>
          <w:color w:val="000000"/>
          <w:sz w:val="24"/>
          <w:szCs w:val="24"/>
        </w:rPr>
        <w:t xml:space="preserve"> be the same quantity for Δ</w:t>
      </w:r>
      <w:r>
        <w:rPr>
          <w:rFonts w:ascii="Times New Roman" w:cs="Times New Roman" w:eastAsia="Times New Roman" w:hAnsi="Times New Roman"/>
          <w:color w:val="000000"/>
          <w:sz w:val="24"/>
          <w:szCs w:val="24"/>
          <w:vertAlign w:val="subscript"/>
        </w:rPr>
        <w:t xml:space="preserve">real</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with tied values given their average rank. Then:</w:t>
      </w:r>
    </w:p>
    <w:p>
      <w:pPr>
        <w:tabs>
          <w:tab w:val="center" w:pos="4513"/>
          <w:tab w:val="right" w:pos="9026"/>
        </w:tabs>
        <w:spacing w:after="0" w:before="120" w:line="360" w:lineRule="auto"/>
      </w:pPr>
      <w:r>
        <w:rPr>
          <w:rFonts w:ascii="Times New Roman" w:cs="Times New Roman" w:eastAsia="Times New Roman" w:hAnsi="Times New Roman"/>
          <w:sz w:val="24"/>
          <w:szCs w:val="24"/>
        </w:rPr>
        <w:tab/>
      </w:r>
      <m:oMath>
        <m:sSub>
          <m:sSubPr/>
          <m:e>
            <m:r>
              <m:t>ρ</m:t>
            </m:r>
          </m:e>
          <m:sub>
            <m:r>
              <m:t>s</m:t>
            </m:r>
          </m:sub>
        </m:sSub>
        <m:r>
          <m:t> = </m:t>
        </m:r>
        <m:f>
          <m:num>
            <m:nary>
              <m:naryPr>
                <m:chr m:val="∑"/>
                <m:limLoc m:val="undOvr"/>
              </m:naryPr>
              <m:sub>
                <m:r>
                  <m:t>m = 1</m:t>
                </m:r>
              </m:sub>
              <m:sup>
                <m:r>
                  <m:t>M</m:t>
                </m:r>
              </m:sup>
              <m:e>
                <m:sSub>
                  <m:sSubPr/>
                  <m:e>
                    <m:r>
                      <m:t>a</m:t>
                    </m:r>
                  </m:e>
                  <m:sub>
                    <m:r>
                      <m:t>m</m:t>
                    </m:r>
                  </m:sub>
                </m:sSub>
                <m:sSub>
                  <m:sSubPr/>
                  <m:e>
                    <m:r>
                      <m:t>b</m:t>
                    </m:r>
                  </m:e>
                  <m:sub>
                    <m:r>
                      <m:t>m</m:t>
                    </m:r>
                  </m:sub>
                </m:sSub>
              </m:e>
            </m:nary>
          </m:num>
          <m:den>
            <m:rad>
              <m:radPr>
                <m:degHide m:val="1"/>
              </m:radPr>
              <m:deg/>
              <m:e>
                <m:nary>
                  <m:naryPr>
                    <m:chr m:val="∑"/>
                    <m:limLoc m:val="undOvr"/>
                  </m:naryPr>
                  <m:sub>
                    <m:r>
                      <m:t>m = 1</m:t>
                    </m:r>
                  </m:sub>
                  <m:sup>
                    <m:r>
                      <m:t>M</m:t>
                    </m:r>
                  </m:sup>
                  <m:e>
                    <m:sSubSup>
                      <m:sSubSupPr/>
                      <m:e>
                        <m:r>
                          <m:t>a</m:t>
                        </m:r>
                      </m:e>
                      <m:sub>
                        <m:r>
                          <m:t>m</m:t>
                        </m:r>
                      </m:sub>
                      <m:sup>
                        <m:r>
                          <m:t>2</m:t>
                        </m:r>
                      </m:sup>
                    </m:sSubSup>
                  </m:e>
                </m:nary>
                <m:r>
                  <m:t> · </m:t>
                </m:r>
                <m:nary>
                  <m:naryPr>
                    <m:chr m:val="∑"/>
                    <m:limLoc m:val="undOvr"/>
                  </m:naryPr>
                  <m:sub>
                    <m:r>
                      <m:t>m = 1</m:t>
                    </m:r>
                  </m:sub>
                  <m:sup>
                    <m:r>
                      <m:t>M</m:t>
                    </m:r>
                  </m:sup>
                  <m:e>
                    <m:sSubSup>
                      <m:sSubSupPr/>
                      <m:e>
                        <m:r>
                          <m:t>b</m:t>
                        </m:r>
                      </m:e>
                      <m:sub>
                        <m:r>
                          <m:t>m</m:t>
                        </m:r>
                      </m:sub>
                      <m:sup>
                        <m:r>
                          <m:t>2</m:t>
                        </m:r>
                      </m:sup>
                    </m:sSubSup>
                  </m:e>
                </m:nary>
              </m:e>
            </m:rad>
          </m:den>
        </m:f>
      </m:oMath>
      <w:r>
        <w:rPr>
          <w:rFonts w:ascii="Times New Roman" w:cs="Times New Roman" w:eastAsia="Times New Roman" w:hAnsi="Times New Roman"/>
          <w:sz w:val="24"/>
          <w:szCs w:val="24"/>
        </w:rPr>
        <w:tab/>
        <w:t xml:space="preserve">(6)</w:t>
      </w:r>
    </w:p>
    <w:p>
      <w:pPr>
        <w:spacing w:after="0" w:before="120" w:line="360" w:lineRule="auto"/>
        <w:ind w:firstLine="0"/>
        <w:jc w:val="both"/>
      </w:pPr>
      <w:r>
        <w:rPr>
          <w:rFonts w:ascii="Times New Roman" w:cs="Times New Roman" w:eastAsia="Times New Roman" w:hAnsi="Times New Roman"/>
          <w:color w:val="000000"/>
          <w:sz w:val="24"/>
          <w:szCs w:val="24"/>
        </w:rPr>
        <w:t xml:space="preserve">The unit of analysis is the model. Each model contributes exactly one pair of values, so the sample size of the correlation is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not the number of patients or vendors. This follows the two closest precedents. In Section 3.4 and Figure 12 of Boone et al. (2023), each point in the correlation is one segmentation model, trained with a different noise augmentation setting and scored once on the simulated benchmark and once on real low-SNR scans. That study is the nearer precedent in domain, since it concerns MRI segmentation. Taori et al. (2020) applied the same design at a much larger scale in natural image classification, with 204 models.</w:t>
      </w:r>
    </w:p>
    <w:p>
      <w:pPr>
        <w:spacing w:after="0" w:before="120" w:line="360" w:lineRule="auto"/>
        <w:ind w:firstLine="0"/>
        <w:jc w:val="both"/>
      </w:pPr>
      <w:r>
        <w:rPr>
          <w:rFonts w:ascii="Times New Roman" w:cs="Times New Roman" w:eastAsia="Times New Roman" w:hAnsi="Times New Roman"/>
          <w:color w:val="000000"/>
          <w:sz w:val="24"/>
          <w:szCs w:val="24"/>
        </w:rPr>
        <w:t xml:space="preserve">A rank correlation is chosen over a linear one for three reasons. First, the practical use of a proxy is ranking. A developer who tests models under simulated corruption wants to know which of them will hold up best on a new scanner, which is a question about order. Second, there is no reason to expect a linear relation between Dice lost under simulated corruption and Dice lost under a change of vendor, because the scale of the simulated drop depends on a severity grid that is itself a design choice. Spearman correlation requires only a monotonic relation. Third, with at most 15 points a single extreme model can dominate a Pearson coefficient, and working on ranks limits that influence (Schober et al., 2018).</w:t>
      </w:r>
    </w:p>
    <w:p>
      <w:pPr>
        <w:spacing w:after="0" w:before="120" w:line="360" w:lineRule="auto"/>
        <w:ind w:firstLine="0"/>
        <w:jc w:val="both"/>
      </w:pPr>
      <w:r>
        <w:rPr>
          <w:rFonts w:ascii="Times New Roman" w:cs="Times New Roman" w:eastAsia="Times New Roman" w:hAnsi="Times New Roman"/>
          <w:color w:val="000000"/>
          <w:sz w:val="24"/>
          <w:szCs w:val="24"/>
        </w:rPr>
        <w:t xml:space="preserve">The choice also keeps the result comparable with the closest prior evidence. Boone et al. (2023) reported Spearman correlations in that within-site validation, including ρ = 0.76 for mean Dice under noise.</w:t>
      </w:r>
    </w:p>
    <w:p>
      <w:pPr>
        <w:spacing w:after="0" w:before="120" w:line="360" w:lineRule="auto"/>
        <w:ind w:firstLine="0"/>
        <w:jc w:val="both"/>
      </w:pPr>
      <w:r>
        <w:rPr>
          <w:rFonts w:ascii="Times New Roman" w:cs="Times New Roman" w:eastAsia="Times New Roman" w:hAnsi="Times New Roman"/>
          <w:color w:val="000000"/>
          <w:sz w:val="24"/>
          <w:szCs w:val="24"/>
        </w:rPr>
        <w:t xml:space="preserve">The statistical hypotheses are </w:t>
      </w:r>
      <w:r>
        <w:rPr>
          <w:rFonts w:ascii="Times New Roman" w:cs="Times New Roman" w:eastAsia="Times New Roman" w:hAnsi="Times New Roman"/>
          <w:i/>
          <w:iCs/>
          <w:color w:val="000000"/>
          <w:sz w:val="24"/>
          <w:szCs w:val="24"/>
        </w:rPr>
        <w:t xml:space="preserve">H</w:t>
      </w:r>
      <w:r>
        <w:rPr>
          <w:rFonts w:ascii="Times New Roman" w:cs="Times New Roman" w:eastAsia="Times New Roman" w:hAnsi="Times New Roman"/>
          <w:color w:val="000000"/>
          <w:sz w:val="24"/>
          <w:szCs w:val="24"/>
          <w:vertAlign w:val="subscript"/>
        </w:rPr>
        <w:t xml:space="preserve">0</w:t>
      </w:r>
      <w:r>
        <w:rPr>
          <w:rFonts w:ascii="Times New Roman" w:cs="Times New Roman" w:eastAsia="Times New Roman" w:hAnsi="Times New Roman"/>
          <w:color w:val="000000"/>
          <w:sz w:val="24"/>
          <w:szCs w:val="24"/>
        </w:rPr>
        <w:t xml:space="preserve">: ρ</w:t>
      </w:r>
      <w:r>
        <w:rPr>
          <w:rFonts w:ascii="Times New Roman" w:cs="Times New Roman" w:eastAsia="Times New Roman" w:hAnsi="Times New Roman"/>
          <w:i/>
          <w:iCs/>
          <w:color w:val="000000"/>
          <w:sz w:val="24"/>
          <w:szCs w:val="24"/>
          <w:vertAlign w:val="subscript"/>
        </w:rPr>
        <w:t xml:space="preserve">s</w:t>
      </w:r>
      <w:r>
        <w:rPr>
          <w:rFonts w:ascii="Times New Roman" w:cs="Times New Roman" w:eastAsia="Times New Roman" w:hAnsi="Times New Roman"/>
          <w:color w:val="000000"/>
          <w:sz w:val="24"/>
          <w:szCs w:val="24"/>
        </w:rPr>
        <w:t xml:space="preserve"> ≤ 0 against </w:t>
      </w:r>
      <w:r>
        <w:rPr>
          <w:rFonts w:ascii="Times New Roman" w:cs="Times New Roman" w:eastAsia="Times New Roman" w:hAnsi="Times New Roman"/>
          <w:i/>
          <w:iCs/>
          <w:color w:val="000000"/>
          <w:sz w:val="24"/>
          <w:szCs w:val="24"/>
        </w:rPr>
        <w:t xml:space="preserve">H</w:t>
      </w:r>
      <w:r>
        <w:rPr>
          <w:rFonts w:ascii="Times New Roman" w:cs="Times New Roman" w:eastAsia="Times New Roman" w:hAnsi="Times New Roman"/>
          <w:color w:val="000000"/>
          <w:sz w:val="24"/>
          <w:szCs w:val="24"/>
          <w:vertAlign w:val="subscript"/>
        </w:rPr>
        <w:t xml:space="preserve">1</w:t>
      </w:r>
      <w:r>
        <w:rPr>
          <w:rFonts w:ascii="Times New Roman" w:cs="Times New Roman" w:eastAsia="Times New Roman" w:hAnsi="Times New Roman"/>
          <w:color w:val="000000"/>
          <w:sz w:val="24"/>
          <w:szCs w:val="24"/>
        </w:rPr>
        <w:t xml:space="preserve">: ρ</w:t>
      </w:r>
      <w:r>
        <w:rPr>
          <w:rFonts w:ascii="Times New Roman" w:cs="Times New Roman" w:eastAsia="Times New Roman" w:hAnsi="Times New Roman"/>
          <w:i/>
          <w:iCs/>
          <w:color w:val="000000"/>
          <w:sz w:val="24"/>
          <w:szCs w:val="24"/>
          <w:vertAlign w:val="subscript"/>
        </w:rPr>
        <w:t xml:space="preserve">s</w:t>
      </w:r>
      <w:r>
        <w:rPr>
          <w:rFonts w:ascii="Times New Roman" w:cs="Times New Roman" w:eastAsia="Times New Roman" w:hAnsi="Times New Roman"/>
          <w:color w:val="000000"/>
          <w:sz w:val="24"/>
          <w:szCs w:val="24"/>
        </w:rPr>
        <w:t xml:space="preserve"> &gt; 0. The test is one-sided because a negative association could not support the use of simulated shift as a proxy. The </w:t>
      </w:r>
      <w:r>
        <w:rPr>
          <w:rFonts w:ascii="Times New Roman" w:cs="Times New Roman" w:eastAsia="Times New Roman" w:hAnsi="Times New Roman"/>
          <w:i/>
          <w:iCs/>
          <w:color w:val="000000"/>
          <w:sz w:val="24"/>
          <w:szCs w:val="24"/>
        </w:rPr>
        <w:t xml:space="preserve">p</w:t>
      </w:r>
      <w:r>
        <w:rPr>
          <w:rFonts w:ascii="Times New Roman" w:cs="Times New Roman" w:eastAsia="Times New Roman" w:hAnsi="Times New Roman"/>
          <w:color w:val="000000"/>
          <w:sz w:val="24"/>
          <w:szCs w:val="24"/>
        </w:rPr>
        <w:t xml:space="preserve">-value is obtained from a permutation test, which makes no distributional assumption and is appropriate at this sample size.</w:t>
      </w:r>
    </w:p>
    <w:p>
      <w:pPr>
        <w:pStyle w:val="Heading3"/>
        <w:keepNext/>
        <w:spacing w:after="0" w:before="120" w:line="360" w:lineRule="auto"/>
        <w:jc w:val="both"/>
      </w:pPr>
      <w:r>
        <w:rPr>
          <w:rFonts w:ascii="Times New Roman" w:cs="Times New Roman" w:eastAsia="Times New Roman" w:hAnsi="Times New Roman"/>
          <w:i/>
          <w:iCs/>
          <w:color w:val="000000"/>
          <w:sz w:val="24"/>
          <w:szCs w:val="24"/>
        </w:rPr>
        <w:t xml:space="preserve">6.6.5. Decision Rule</w:t>
      </w:r>
    </w:p>
    <w:p>
      <w:pPr>
        <w:spacing w:after="0" w:before="120" w:line="360" w:lineRule="auto"/>
        <w:ind w:firstLine="0"/>
        <w:jc w:val="both"/>
      </w:pPr>
      <w:r>
        <w:rPr>
          <w:rFonts w:ascii="Times New Roman" w:cs="Times New Roman" w:eastAsia="Times New Roman" w:hAnsi="Times New Roman"/>
          <w:color w:val="000000"/>
          <w:sz w:val="24"/>
          <w:szCs w:val="24"/>
        </w:rPr>
        <w:t xml:space="preserve">The observed value of F is mapped to one of three outcomes, as set out in Table 1.</w:t>
      </w:r>
    </w:p>
    <w:p>
      <w:pPr>
        <w:keepNext/>
        <w:spacing w:after="60" w:before="240" w:line="360" w:lineRule="auto"/>
        <w:jc w:val="center"/>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color w:val="000000"/>
          <w:sz w:val="24"/>
          <w:szCs w:val="24"/>
        </w:rPr>
        <w:t xml:space="preserve">Pre-specified decision rule for the final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226"/>
      </w:tblGrid>
      <w:tr>
        <w:trPr>
          <w:cantSplit/>
          <w:tblHeader/>
        </w:trPr>
        <w:tc>
          <w:tcPr>
            <w:tcW w:type="dxa" w:w="190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b/>
                <w:bCs/>
                <w:color w:val="000000"/>
                <w:sz w:val="24"/>
                <w:szCs w:val="24"/>
              </w:rPr>
              <w:t xml:space="preserve">Outcome</w:t>
            </w:r>
          </w:p>
        </w:tc>
        <w:tc>
          <w:tcPr>
            <w:tcW w:type="dxa" w:w="190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b/>
                <w:bCs/>
                <w:color w:val="000000"/>
                <w:sz w:val="24"/>
                <w:szCs w:val="24"/>
              </w:rPr>
              <w:t xml:space="preserve">Condition</w:t>
            </w:r>
          </w:p>
        </w:tc>
        <w:tc>
          <w:tcPr>
            <w:tcW w:type="dxa" w:w="52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b/>
                <w:bCs/>
                <w:color w:val="000000"/>
                <w:sz w:val="24"/>
                <w:szCs w:val="24"/>
              </w:rPr>
              <w:t xml:space="preserve">Conclusion stated</w:t>
            </w:r>
          </w:p>
        </w:tc>
      </w:tr>
      <w:tr>
        <w:trPr>
          <w:cantSplit/>
          <w:tblHeader w:val="false"/>
        </w:trPr>
        <w:tc>
          <w:tcPr>
            <w:tcW w:type="dxa" w:w="190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left"/>
            </w:pPr>
            <w:r>
              <w:rPr>
                <w:rFonts w:ascii="Times New Roman" w:cs="Times New Roman" w:eastAsia="Times New Roman" w:hAnsi="Times New Roman"/>
                <w:color w:val="000000"/>
                <w:sz w:val="24"/>
                <w:szCs w:val="24"/>
              </w:rPr>
              <w:t xml:space="preserve">Supported</w:t>
            </w:r>
          </w:p>
        </w:tc>
        <w:tc>
          <w:tcPr>
            <w:tcW w:type="dxa" w:w="190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F ≥ 0.70</w:t>
            </w:r>
          </w:p>
        </w:tc>
        <w:tc>
          <w:tcPr>
            <w:tcW w:type="dxa" w:w="52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left"/>
            </w:pPr>
            <w:r>
              <w:rPr>
                <w:rFonts w:ascii="Times New Roman" w:cs="Times New Roman" w:eastAsia="Times New Roman" w:hAnsi="Times New Roman"/>
                <w:color w:val="000000"/>
                <w:sz w:val="24"/>
                <w:szCs w:val="24"/>
              </w:rPr>
              <w:t xml:space="preserve">Simulated shift orders the models much as real cross-vendor shift does. Its use as a proxy is supported for this dataset and this set of corruptions.</w:t>
            </w:r>
          </w:p>
        </w:tc>
      </w:tr>
      <w:tr>
        <w:trPr>
          <w:cantSplit/>
          <w:tblHeader w:val="false"/>
        </w:trPr>
        <w:tc>
          <w:tcPr>
            <w:tcW w:type="dxa" w:w="190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left"/>
            </w:pPr>
            <w:r>
              <w:rPr>
                <w:rFonts w:ascii="Times New Roman" w:cs="Times New Roman" w:eastAsia="Times New Roman" w:hAnsi="Times New Roman"/>
                <w:color w:val="000000"/>
                <w:sz w:val="24"/>
                <w:szCs w:val="24"/>
              </w:rPr>
              <w:t xml:space="preserve">Inconclusive</w:t>
            </w:r>
          </w:p>
        </w:tc>
        <w:tc>
          <w:tcPr>
            <w:tcW w:type="dxa" w:w="190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0.40 ≤ F &lt; 0.70</w:t>
            </w:r>
          </w:p>
        </w:tc>
        <w:tc>
          <w:tcPr>
            <w:tcW w:type="dxa" w:w="52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left"/>
            </w:pPr>
            <w:r>
              <w:rPr>
                <w:rFonts w:ascii="Times New Roman" w:cs="Times New Roman" w:eastAsia="Times New Roman" w:hAnsi="Times New Roman"/>
                <w:color w:val="000000"/>
                <w:sz w:val="24"/>
                <w:szCs w:val="24"/>
              </w:rPr>
              <w:t xml:space="preserve">A positive association may exist, but it is too weak or too imprecisely estimated to justify substituting simulated for real evaluation.</w:t>
            </w:r>
          </w:p>
        </w:tc>
      </w:tr>
      <w:tr>
        <w:trPr>
          <w:cantSplit/>
          <w:tblHeader w:val="false"/>
        </w:trPr>
        <w:tc>
          <w:tcPr>
            <w:tcW w:type="dxa" w:w="190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Not supported</w:t>
            </w:r>
          </w:p>
        </w:tc>
        <w:tc>
          <w:tcPr>
            <w:tcW w:type="dxa" w:w="190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F &lt; 0.40</w:t>
            </w:r>
          </w:p>
        </w:tc>
        <w:tc>
          <w:tcPr>
            <w:tcW w:type="dxa" w:w="52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Simulated shift does not order the models as real shift does. The proxy is rejected for this setting, which is itself a reportable finding.</w:t>
            </w:r>
          </w:p>
        </w:tc>
      </w:tr>
    </w:tbl>
    <w:p>
      <w:pPr>
        <w:spacing w:after="0" w:before="120" w:line="360" w:lineRule="auto"/>
        <w:ind w:firstLine="0"/>
        <w:jc w:val="both"/>
      </w:pPr>
      <w:r>
        <w:rPr>
          <w:rFonts w:ascii="Times New Roman" w:cs="Times New Roman" w:eastAsia="Times New Roman" w:hAnsi="Times New Roman"/>
          <w:color w:val="000000"/>
          <w:sz w:val="24"/>
          <w:szCs w:val="24"/>
        </w:rPr>
        <w:t xml:space="preserve">The cut-offs follow a common convention in which coefficients from 0.40 to 0.69 are labelled moderate and those from 0.70 to 0.89 strong (Schober et al., 2018). Such labels are conventions, and the same authors caution that cut-offs of this kind are arbitrary. Two considerations make them usable here. The upper cut-off sits just below the within-site value of 0.76 reported by Boone et al. (2023), so that “supported” means roughly “about as good across vendors as it was shown to be within one site”. And the cut-offs are fixed now, before any real-vendor result exists, which removes the option of choosing a threshold that flatters the outcome.</w:t>
      </w:r>
    </w:p>
    <w:p>
      <w:pPr>
        <w:spacing w:after="0" w:before="120" w:line="360" w:lineRule="auto"/>
        <w:ind w:firstLine="0"/>
        <w:jc w:val="both"/>
      </w:pPr>
      <w:r>
        <w:rPr>
          <w:rFonts w:ascii="Times New Roman" w:cs="Times New Roman" w:eastAsia="Times New Roman" w:hAnsi="Times New Roman"/>
          <w:color w:val="000000"/>
          <w:sz w:val="24"/>
          <w:szCs w:val="24"/>
        </w:rPr>
        <w:t xml:space="preserve">The rule is consistent with the significance test at every planned sample size. The one-sided 5% critical value of the Spearman coefficient is approximately 0.56 for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 10, 0.50 for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 12 and 0.45 for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 15. A coefficient of 0.70 or more is therefore always significant at that level, and a coefficient below 0.40 never is.</w:t>
      </w:r>
    </w:p>
    <w:p>
      <w:pPr>
        <w:spacing w:after="0" w:before="120" w:line="360" w:lineRule="auto"/>
        <w:ind w:firstLine="0"/>
        <w:jc w:val="both"/>
      </w:pPr>
      <w:r>
        <w:rPr>
          <w:rFonts w:ascii="Times New Roman" w:cs="Times New Roman" w:eastAsia="Times New Roman" w:hAnsi="Times New Roman"/>
          <w:color w:val="000000"/>
          <w:sz w:val="24"/>
          <w:szCs w:val="24"/>
        </w:rPr>
        <w:t xml:space="preserve">A simulation was run to see how the rule behaves at these sample sizes. For each setting, 400,000 studies were simulated from bivariate normal data with a known population Spearman correlation. Table 2 gives the share of studies that fall into each outcome.</w:t>
      </w:r>
    </w:p>
    <w:p>
      <w:pPr>
        <w:keepNext/>
        <w:spacing w:after="60" w:before="240" w:line="360" w:lineRule="auto"/>
        <w:jc w:val="center"/>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color w:val="000000"/>
          <w:sz w:val="24"/>
          <w:szCs w:val="24"/>
        </w:rPr>
        <w:t xml:space="preserve">Simulated behaviour of the decision rule (percentage of simulated studies per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160"/>
        <w:gridCol w:w="1160"/>
        <w:gridCol w:w="1180"/>
        <w:gridCol w:w="1160"/>
        <w:gridCol w:w="1160"/>
        <w:gridCol w:w="1180"/>
      </w:tblGrid>
      <w:tr>
        <w:trPr>
          <w:cantSplit/>
          <w:tblHeader/>
        </w:trPr>
        <w:tc>
          <w:tcPr>
            <w:tcW w:type="dxa" w:w="20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b/>
                <w:bCs/>
                <w:color w:val="000000"/>
                <w:sz w:val="24"/>
                <w:szCs w:val="24"/>
              </w:rPr>
              <w:t xml:space="preserve">True ρ</w:t>
            </w:r>
            <w:r>
              <w:rPr>
                <w:rFonts w:ascii="Times New Roman" w:cs="Times New Roman" w:eastAsia="Times New Roman" w:hAnsi="Times New Roman"/>
                <w:b/>
                <w:bCs/>
                <w:i/>
                <w:iCs/>
                <w:color w:val="000000"/>
                <w:sz w:val="24"/>
                <w:szCs w:val="24"/>
                <w:vertAlign w:val="subscript"/>
              </w:rPr>
              <w:t xml:space="preserve">s</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b/>
                <w:bCs/>
                <w:color w:val="000000"/>
                <w:sz w:val="24"/>
                <w:szCs w:val="24"/>
              </w:rPr>
              <w:t xml:space="preserve">Sup. </w:t>
            </w:r>
            <w:r>
              <w:rPr>
                <w:rFonts w:ascii="Times New Roman" w:cs="Times New Roman" w:eastAsia="Times New Roman" w:hAnsi="Times New Roman"/>
                <w:b/>
                <w:bCs/>
                <w:i/>
                <w:iCs/>
                <w:color w:val="000000"/>
                <w:sz w:val="24"/>
                <w:szCs w:val="24"/>
              </w:rPr>
              <w:t xml:space="preserve">M</w:t>
            </w:r>
            <w:r>
              <w:rPr>
                <w:rFonts w:ascii="Times New Roman" w:cs="Times New Roman" w:eastAsia="Times New Roman" w:hAnsi="Times New Roman"/>
                <w:b/>
                <w:bCs/>
                <w:color w:val="000000"/>
                <w:sz w:val="24"/>
                <w:szCs w:val="24"/>
              </w:rPr>
              <w:t xml:space="preserve">=10</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b/>
                <w:bCs/>
                <w:color w:val="000000"/>
                <w:sz w:val="24"/>
                <w:szCs w:val="24"/>
              </w:rPr>
              <w:t xml:space="preserve">Inc. </w:t>
            </w:r>
            <w:r>
              <w:rPr>
                <w:rFonts w:ascii="Times New Roman" w:cs="Times New Roman" w:eastAsia="Times New Roman" w:hAnsi="Times New Roman"/>
                <w:b/>
                <w:bCs/>
                <w:i/>
                <w:iCs/>
                <w:color w:val="000000"/>
                <w:sz w:val="24"/>
                <w:szCs w:val="24"/>
              </w:rPr>
              <w:t xml:space="preserve">M</w:t>
            </w:r>
            <w:r>
              <w:rPr>
                <w:rFonts w:ascii="Times New Roman" w:cs="Times New Roman" w:eastAsia="Times New Roman" w:hAnsi="Times New Roman"/>
                <w:b/>
                <w:bCs/>
                <w:color w:val="000000"/>
                <w:sz w:val="24"/>
                <w:szCs w:val="24"/>
              </w:rPr>
              <w:t xml:space="preserve">=10</w:t>
            </w:r>
          </w:p>
        </w:tc>
        <w:tc>
          <w:tcPr>
            <w:tcW w:type="dxa" w:w="118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b/>
                <w:bCs/>
                <w:color w:val="000000"/>
                <w:sz w:val="24"/>
                <w:szCs w:val="24"/>
              </w:rPr>
              <w:t xml:space="preserve">Not </w:t>
            </w:r>
            <w:r>
              <w:rPr>
                <w:rFonts w:ascii="Times New Roman" w:cs="Times New Roman" w:eastAsia="Times New Roman" w:hAnsi="Times New Roman"/>
                <w:b/>
                <w:bCs/>
                <w:i/>
                <w:iCs/>
                <w:color w:val="000000"/>
                <w:sz w:val="24"/>
                <w:szCs w:val="24"/>
              </w:rPr>
              <w:t xml:space="preserve">M</w:t>
            </w:r>
            <w:r>
              <w:rPr>
                <w:rFonts w:ascii="Times New Roman" w:cs="Times New Roman" w:eastAsia="Times New Roman" w:hAnsi="Times New Roman"/>
                <w:b/>
                <w:bCs/>
                <w:color w:val="000000"/>
                <w:sz w:val="24"/>
                <w:szCs w:val="24"/>
              </w:rPr>
              <w:t xml:space="preserve">=10</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b/>
                <w:bCs/>
                <w:color w:val="000000"/>
                <w:sz w:val="24"/>
                <w:szCs w:val="24"/>
              </w:rPr>
              <w:t xml:space="preserve">Sup. </w:t>
            </w:r>
            <w:r>
              <w:rPr>
                <w:rFonts w:ascii="Times New Roman" w:cs="Times New Roman" w:eastAsia="Times New Roman" w:hAnsi="Times New Roman"/>
                <w:b/>
                <w:bCs/>
                <w:i/>
                <w:iCs/>
                <w:color w:val="000000"/>
                <w:sz w:val="24"/>
                <w:szCs w:val="24"/>
              </w:rPr>
              <w:t xml:space="preserve">M</w:t>
            </w:r>
            <w:r>
              <w:rPr>
                <w:rFonts w:ascii="Times New Roman" w:cs="Times New Roman" w:eastAsia="Times New Roman" w:hAnsi="Times New Roman"/>
                <w:b/>
                <w:bCs/>
                <w:color w:val="000000"/>
                <w:sz w:val="24"/>
                <w:szCs w:val="24"/>
              </w:rPr>
              <w:t xml:space="preserve">=15</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b/>
                <w:bCs/>
                <w:color w:val="000000"/>
                <w:sz w:val="24"/>
                <w:szCs w:val="24"/>
              </w:rPr>
              <w:t xml:space="preserve">Inc. </w:t>
            </w:r>
            <w:r>
              <w:rPr>
                <w:rFonts w:ascii="Times New Roman" w:cs="Times New Roman" w:eastAsia="Times New Roman" w:hAnsi="Times New Roman"/>
                <w:b/>
                <w:bCs/>
                <w:i/>
                <w:iCs/>
                <w:color w:val="000000"/>
                <w:sz w:val="24"/>
                <w:szCs w:val="24"/>
              </w:rPr>
              <w:t xml:space="preserve">M</w:t>
            </w:r>
            <w:r>
              <w:rPr>
                <w:rFonts w:ascii="Times New Roman" w:cs="Times New Roman" w:eastAsia="Times New Roman" w:hAnsi="Times New Roman"/>
                <w:b/>
                <w:bCs/>
                <w:color w:val="000000"/>
                <w:sz w:val="24"/>
                <w:szCs w:val="24"/>
              </w:rPr>
              <w:t xml:space="preserve">=15</w:t>
            </w:r>
          </w:p>
        </w:tc>
        <w:tc>
          <w:tcPr>
            <w:tcW w:type="dxa" w:w="118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b/>
                <w:bCs/>
                <w:color w:val="000000"/>
                <w:sz w:val="24"/>
                <w:szCs w:val="24"/>
              </w:rPr>
              <w:t xml:space="preserve">Not </w:t>
            </w:r>
            <w:r>
              <w:rPr>
                <w:rFonts w:ascii="Times New Roman" w:cs="Times New Roman" w:eastAsia="Times New Roman" w:hAnsi="Times New Roman"/>
                <w:b/>
                <w:bCs/>
                <w:i/>
                <w:iCs/>
                <w:color w:val="000000"/>
                <w:sz w:val="24"/>
                <w:szCs w:val="24"/>
              </w:rPr>
              <w:t xml:space="preserve">M</w:t>
            </w:r>
            <w:r>
              <w:rPr>
                <w:rFonts w:ascii="Times New Roman" w:cs="Times New Roman" w:eastAsia="Times New Roman" w:hAnsi="Times New Roman"/>
                <w:b/>
                <w:bCs/>
                <w:color w:val="000000"/>
                <w:sz w:val="24"/>
                <w:szCs w:val="24"/>
              </w:rPr>
              <w:t xml:space="preserve">=15</w:t>
            </w:r>
          </w:p>
        </w:tc>
      </w:tr>
      <w:tr>
        <w:trPr>
          <w:cantSplit/>
          <w:tblHeader w:val="false"/>
        </w:trPr>
        <w:tc>
          <w:tcPr>
            <w:tcW w:type="dxa" w:w="20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left"/>
            </w:pPr>
            <w:r>
              <w:rPr>
                <w:rFonts w:ascii="Times New Roman" w:cs="Times New Roman" w:eastAsia="Times New Roman" w:hAnsi="Times New Roman"/>
                <w:color w:val="000000"/>
                <w:sz w:val="24"/>
                <w:szCs w:val="24"/>
              </w:rPr>
              <w:t xml:space="preserve">0.00 (no relation)</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1.3</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11.0</w:t>
            </w:r>
          </w:p>
        </w:tc>
        <w:tc>
          <w:tcPr>
            <w:tcW w:type="dxa" w:w="118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87.7</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0.2</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6.8</w:t>
            </w:r>
          </w:p>
        </w:tc>
        <w:tc>
          <w:tcPr>
            <w:tcW w:type="dxa" w:w="118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93.0</w:t>
            </w:r>
          </w:p>
        </w:tc>
      </w:tr>
      <w:tr>
        <w:trPr>
          <w:cantSplit/>
          <w:tblHeader w:val="false"/>
        </w:trPr>
        <w:tc>
          <w:tcPr>
            <w:tcW w:type="dxa" w:w="20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left"/>
            </w:pPr>
            <w:r>
              <w:rPr>
                <w:rFonts w:ascii="Times New Roman" w:cs="Times New Roman" w:eastAsia="Times New Roman" w:hAnsi="Times New Roman"/>
                <w:color w:val="000000"/>
                <w:sz w:val="24"/>
                <w:szCs w:val="24"/>
              </w:rPr>
              <w:t xml:space="preserve">0.40</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12.2</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37.5</w:t>
            </w:r>
          </w:p>
        </w:tc>
        <w:tc>
          <w:tcPr>
            <w:tcW w:type="dxa" w:w="118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50.3</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7.0</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42.7</w:t>
            </w:r>
          </w:p>
        </w:tc>
        <w:tc>
          <w:tcPr>
            <w:tcW w:type="dxa" w:w="118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50.2</w:t>
            </w:r>
          </w:p>
        </w:tc>
      </w:tr>
      <w:tr>
        <w:trPr>
          <w:cantSplit/>
          <w:tblHeader w:val="false"/>
        </w:trPr>
        <w:tc>
          <w:tcPr>
            <w:tcW w:type="dxa" w:w="20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left"/>
            </w:pPr>
            <w:r>
              <w:rPr>
                <w:rFonts w:ascii="Times New Roman" w:cs="Times New Roman" w:eastAsia="Times New Roman" w:hAnsi="Times New Roman"/>
                <w:color w:val="000000"/>
                <w:sz w:val="24"/>
                <w:szCs w:val="24"/>
              </w:rPr>
              <w:t xml:space="preserve">0.76 (Boone et al.)</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59.7</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33.1</w:t>
            </w:r>
          </w:p>
        </w:tc>
        <w:tc>
          <w:tcPr>
            <w:tcW w:type="dxa" w:w="118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7.1</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64.0</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32.9</w:t>
            </w:r>
          </w:p>
        </w:tc>
        <w:tc>
          <w:tcPr>
            <w:tcW w:type="dxa" w:w="118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spacing w:after="0" w:before="0" w:line="360" w:lineRule="auto"/>
              <w:jc w:val="center"/>
            </w:pPr>
            <w:r>
              <w:rPr>
                <w:rFonts w:ascii="Times New Roman" w:cs="Times New Roman" w:eastAsia="Times New Roman" w:hAnsi="Times New Roman"/>
                <w:color w:val="000000"/>
                <w:sz w:val="24"/>
                <w:szCs w:val="24"/>
              </w:rPr>
              <w:t xml:space="preserve">3.0</w:t>
            </w:r>
          </w:p>
        </w:tc>
      </w:tr>
      <w:tr>
        <w:trPr>
          <w:cantSplit/>
          <w:tblHeader w:val="false"/>
        </w:trPr>
        <w:tc>
          <w:tcPr>
            <w:tcW w:type="dxa" w:w="20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0.90</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90.5</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8.9</w:t>
            </w:r>
          </w:p>
        </w:tc>
        <w:tc>
          <w:tcPr>
            <w:tcW w:type="dxa" w:w="118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0.6</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96.1</w:t>
            </w:r>
          </w:p>
        </w:tc>
        <w:tc>
          <w:tcPr>
            <w:tcW w:type="dxa" w:w="116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3.9</w:t>
            </w:r>
          </w:p>
        </w:tc>
        <w:tc>
          <w:tcPr>
            <w:tcW w:type="dxa" w:w="118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0.1</w:t>
            </w:r>
          </w:p>
        </w:tc>
      </w:tr>
    </w:tbl>
    <w:p>
      <w:pPr>
        <w:spacing w:after="0" w:before="120" w:line="360" w:lineRule="auto"/>
        <w:ind w:firstLine="0"/>
        <w:jc w:val="both"/>
      </w:pPr>
      <w:r>
        <w:rPr>
          <w:rFonts w:ascii="Times New Roman" w:cs="Times New Roman" w:eastAsia="Times New Roman" w:hAnsi="Times New Roman"/>
          <w:i/>
          <w:iCs/>
          <w:color w:val="000000"/>
          <w:sz w:val="24"/>
          <w:szCs w:val="24"/>
        </w:rPr>
        <w:t xml:space="preserve">Note.</w:t>
      </w:r>
      <w:r>
        <w:rPr>
          <w:rFonts w:ascii="Times New Roman" w:cs="Times New Roman" w:eastAsia="Times New Roman" w:hAnsi="Times New Roman"/>
          <w:color w:val="000000"/>
          <w:sz w:val="24"/>
          <w:szCs w:val="24"/>
        </w:rPr>
        <w:t xml:space="preserve"> Sup. = supported, Inc. = inconclusive, Not = not supported. Rows may not sum to exactly 100 because of rounding. The simulation code accompanies this document.</w:t>
      </w:r>
    </w:p>
    <w:p>
      <w:pPr>
        <w:spacing w:after="0" w:before="120" w:line="360" w:lineRule="auto"/>
        <w:ind w:firstLine="0"/>
        <w:jc w:val="both"/>
      </w:pPr>
      <w:r>
        <w:rPr>
          <w:rFonts w:ascii="Times New Roman" w:cs="Times New Roman" w:eastAsia="Times New Roman" w:hAnsi="Times New Roman"/>
          <w:color w:val="000000"/>
          <w:sz w:val="24"/>
          <w:szCs w:val="24"/>
        </w:rPr>
        <w:t xml:space="preserve">Two facts follow from Table 2. If simulated and real degradation are unrelated, the rule returns “supported” in about 1% of studies or fewer, so a false claim of proxy validity is unlikely. But if the cross-vendor relation is truly as strong as the within-site figure of 0.76, the rule returns “supported” in only about 60% to 64% of studies and “inconclusive” in about a third. The design therefore guards well against a false positive and poorly against an inconclusive result. This is a consequence of the number of models that can be trained within the project, and it is stated here in advance instead of being discovered after the analysis.</w:t>
      </w:r>
    </w:p>
    <w:p>
      <w:pPr>
        <w:pStyle w:val="Heading3"/>
        <w:keepNext/>
        <w:spacing w:after="0" w:before="120" w:line="360" w:lineRule="auto"/>
        <w:jc w:val="both"/>
      </w:pPr>
      <w:r>
        <w:rPr>
          <w:rFonts w:ascii="Times New Roman" w:cs="Times New Roman" w:eastAsia="Times New Roman" w:hAnsi="Times New Roman"/>
          <w:i/>
          <w:iCs/>
          <w:color w:val="000000"/>
          <w:sz w:val="24"/>
          <w:szCs w:val="24"/>
        </w:rPr>
        <w:t xml:space="preserve">6.6.6. Critical Metrics</w:t>
      </w:r>
    </w:p>
    <w:p>
      <w:pPr>
        <w:spacing w:after="0" w:before="120" w:line="360" w:lineRule="auto"/>
        <w:ind w:firstLine="0"/>
        <w:jc w:val="both"/>
      </w:pPr>
      <w:r>
        <w:rPr>
          <w:rFonts w:ascii="Times New Roman" w:cs="Times New Roman" w:eastAsia="Times New Roman" w:hAnsi="Times New Roman"/>
          <w:color w:val="000000"/>
          <w:sz w:val="24"/>
          <w:szCs w:val="24"/>
        </w:rPr>
        <w:t xml:space="preserve">Seven critical metrics accompany F, and each is reported whatever it shows. C1 to C6 do not change the outcome assigned by Table 1. Their role is to qualify how far that outcome can be generalised. C7 is different in kind: it is a precondition, and if it fails, F is not interpreted at all.</w:t>
      </w:r>
    </w:p>
    <w:p>
      <w:pPr>
        <w:spacing w:after="0" w:before="120" w:line="360" w:lineRule="auto"/>
        <w:ind w:firstLine="0"/>
        <w:jc w:val="both"/>
      </w:pPr>
      <w:r>
        <w:rPr>
          <w:rFonts w:ascii="Times New Roman" w:cs="Times New Roman" w:eastAsia="Times New Roman" w:hAnsi="Times New Roman"/>
          <w:color w:val="000000"/>
          <w:sz w:val="24"/>
          <w:szCs w:val="24"/>
        </w:rPr>
        <w:t xml:space="preserve">The analyses are not equally costly, and the project has limited compute and time. They are therefore ranked in three tiers, fixed in advance. Tier 1 (F, C5 and C7) is required. Without C7, F cannot be interpreted, and without C5 its precision is unknown, which at 10 to 15 models would leave the point estimate unreportable. Tier 2 (C2, C3 and C4) regroups Dice values that are already stored and requires no further model evaluation. Tier 3 (C1 and C6) is completed if time allows. C1 is the only analysis that needs a second segmentation measure to be computed for every prediction. Any Tier 3 analysis that is not completed is named as such in the report, and the decision to omit it is taken on grounds of time alone, before its result is known. Table 3 summarises the metrics and their tiers.</w:t>
      </w:r>
    </w:p>
    <w:p>
      <w:pPr>
        <w:keepNext/>
        <w:spacing w:after="60" w:before="240" w:line="360" w:lineRule="auto"/>
        <w:jc w:val="center"/>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color w:val="000000"/>
          <w:sz w:val="24"/>
          <w:szCs w:val="24"/>
        </w:rPr>
        <w:t xml:space="preserve">Summary of the final metric (F) and the critical metrics (C1 to C7), with priority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2750"/>
        <w:gridCol w:w="2726"/>
        <w:gridCol w:w="750"/>
      </w:tblGrid>
      <w:tr>
        <w:trPr>
          <w:cantSplit/>
          <w:tblHeader/>
        </w:trPr>
        <w:tc>
          <w:tcPr>
            <w:tcW w:type="dxa" w:w="6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b/>
                <w:bCs/>
                <w:color w:val="000000"/>
                <w:sz w:val="24"/>
                <w:szCs w:val="24"/>
              </w:rPr>
              <w:t xml:space="preserve">ID</w:t>
            </w:r>
          </w:p>
        </w:tc>
        <w:tc>
          <w:tcPr>
            <w:tcW w:type="dxa" w:w="21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b/>
                <w:bCs/>
                <w:color w:val="000000"/>
                <w:sz w:val="24"/>
                <w:szCs w:val="24"/>
              </w:rPr>
              <w:t xml:space="preserve">Metric</w:t>
            </w:r>
          </w:p>
        </w:tc>
        <w:tc>
          <w:tcPr>
            <w:tcW w:type="dxa" w:w="2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b/>
                <w:bCs/>
                <w:color w:val="000000"/>
                <w:sz w:val="24"/>
                <w:szCs w:val="24"/>
              </w:rPr>
              <w:t xml:space="preserve">How it is computed</w:t>
            </w:r>
          </w:p>
        </w:tc>
        <w:tc>
          <w:tcPr>
            <w:tcW w:type="dxa" w:w="27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b/>
                <w:bCs/>
                <w:color w:val="000000"/>
                <w:sz w:val="24"/>
                <w:szCs w:val="24"/>
              </w:rPr>
              <w:t xml:space="preserve">Question it answers</w:t>
            </w:r>
          </w:p>
        </w:tc>
        <w:tc>
          <w:tcPr>
            <w:tcW w:type="dxa" w:w="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b/>
                <w:bCs/>
                <w:color w:val="000000"/>
                <w:sz w:val="24"/>
                <w:szCs w:val="24"/>
              </w:rPr>
              <w:t xml:space="preserve">Tier</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F</w:t>
            </w:r>
          </w:p>
        </w:tc>
        <w:tc>
          <w:tcPr>
            <w:tcW w:type="dxa" w:w="21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Spearman correlation of simulated and real Dice drop</w:t>
            </w:r>
          </w:p>
        </w:tc>
        <w:tc>
          <w:tcPr>
            <w:tcW w:type="dxa" w:w="2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Equations 4 to 6, across the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models</w:t>
            </w:r>
          </w:p>
        </w:tc>
        <w:tc>
          <w:tcPr>
            <w:tcW w:type="dxa" w:w="27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Does simulated shift rank models the way real cross-vendor shift does?</w:t>
            </w:r>
          </w:p>
        </w:tc>
        <w:tc>
          <w:tcPr>
            <w:tcW w:type="dxa" w:w="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1</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C1</w:t>
            </w:r>
          </w:p>
        </w:tc>
        <w:tc>
          <w:tcPr>
            <w:tcW w:type="dxa" w:w="21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Boundary-based correlation (HD95)</w:t>
            </w:r>
          </w:p>
        </w:tc>
        <w:tc>
          <w:tcPr>
            <w:tcW w:type="dxa" w:w="2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F recomputed with the increase in HD95 in place of the Dice drop</w:t>
            </w:r>
          </w:p>
        </w:tc>
        <w:tc>
          <w:tcPr>
            <w:tcW w:type="dxa" w:w="27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Does the result survive a boundary-based measure?</w:t>
            </w:r>
          </w:p>
        </w:tc>
        <w:tc>
          <w:tcPr>
            <w:tcW w:type="dxa" w:w="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3</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C2</w:t>
            </w:r>
          </w:p>
        </w:tc>
        <w:tc>
          <w:tcPr>
            <w:tcW w:type="dxa" w:w="21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Per-structure correlation</w:t>
            </w:r>
          </w:p>
        </w:tc>
        <w:tc>
          <w:tcPr>
            <w:tcW w:type="dxa" w:w="2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F recomputed for LV, MYO and RV separately</w:t>
            </w:r>
          </w:p>
        </w:tc>
        <w:tc>
          <w:tcPr>
            <w:tcW w:type="dxa" w:w="27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Is the result carried by one structure?</w:t>
            </w:r>
          </w:p>
        </w:tc>
        <w:tc>
          <w:tcPr>
            <w:tcW w:type="dxa" w:w="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2</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C3</w:t>
            </w:r>
          </w:p>
        </w:tc>
        <w:tc>
          <w:tcPr>
            <w:tcW w:type="dxa" w:w="21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Per-vendor correlation</w:t>
            </w:r>
          </w:p>
        </w:tc>
        <w:tc>
          <w:tcPr>
            <w:tcW w:type="dxa" w:w="2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F recomputed against vendors A, C and D separately</w:t>
            </w:r>
          </w:p>
        </w:tc>
        <w:tc>
          <w:tcPr>
            <w:tcW w:type="dxa" w:w="27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Does the proxy hold for every unseen vendor?</w:t>
            </w:r>
          </w:p>
        </w:tc>
        <w:tc>
          <w:tcPr>
            <w:tcW w:type="dxa" w:w="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2</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C4</w:t>
            </w:r>
          </w:p>
        </w:tc>
        <w:tc>
          <w:tcPr>
            <w:tcW w:type="dxa" w:w="21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Per-corruption correlation</w:t>
            </w:r>
          </w:p>
        </w:tc>
        <w:tc>
          <w:tcPr>
            <w:tcW w:type="dxa" w:w="2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F recomputed for each corruption family and each severity level</w:t>
            </w:r>
          </w:p>
        </w:tc>
        <w:tc>
          <w:tcPr>
            <w:tcW w:type="dxa" w:w="27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Which simulated corruptions carry the relation?</w:t>
            </w:r>
          </w:p>
        </w:tc>
        <w:tc>
          <w:tcPr>
            <w:tcW w:type="dxa" w:w="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2</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C5</w:t>
            </w:r>
          </w:p>
        </w:tc>
        <w:tc>
          <w:tcPr>
            <w:tcW w:type="dxa" w:w="21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Uncertainty of F</w:t>
            </w:r>
          </w:p>
        </w:tc>
        <w:tc>
          <w:tcPr>
            <w:tcW w:type="dxa" w:w="2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Bootstrap interval, permutation </w:t>
            </w:r>
            <w:r>
              <w:rPr>
                <w:rFonts w:ascii="Times New Roman" w:cs="Times New Roman" w:eastAsia="Times New Roman" w:hAnsi="Times New Roman"/>
                <w:i/>
                <w:iCs/>
                <w:color w:val="000000"/>
                <w:sz w:val="24"/>
                <w:szCs w:val="24"/>
              </w:rPr>
              <w:t xml:space="preserve">p</w:t>
            </w:r>
            <w:r>
              <w:rPr>
                <w:rFonts w:ascii="Times New Roman" w:cs="Times New Roman" w:eastAsia="Times New Roman" w:hAnsi="Times New Roman"/>
                <w:color w:val="000000"/>
                <w:sz w:val="24"/>
                <w:szCs w:val="24"/>
              </w:rPr>
              <w:t xml:space="preserve">-value, leave-one-model-out range</w:t>
            </w:r>
          </w:p>
        </w:tc>
        <w:tc>
          <w:tcPr>
            <w:tcW w:type="dxa" w:w="27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How precisely do 10 to 15 models estimate F?</w:t>
            </w:r>
          </w:p>
        </w:tc>
        <w:tc>
          <w:tcPr>
            <w:tcW w:type="dxa" w:w="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1</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C6</w:t>
            </w:r>
          </w:p>
        </w:tc>
        <w:tc>
          <w:tcPr>
            <w:tcW w:type="dxa" w:w="21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Sensitivity to analytic choices</w:t>
            </w:r>
          </w:p>
        </w:tc>
        <w:tc>
          <w:tcPr>
            <w:tcW w:type="dxa" w:w="2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Kendall and Pearson coefficients, relative drop, severity weighting</w:t>
            </w:r>
          </w:p>
        </w:tc>
        <w:tc>
          <w:tcPr>
            <w:tcW w:type="dxa" w:w="27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Does the conclusion depend on one arbitrary choice?</w:t>
            </w:r>
          </w:p>
        </w:tc>
        <w:tc>
          <w:tcPr>
            <w:tcW w:type="dxa" w:w="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3</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C7</w:t>
            </w:r>
          </w:p>
        </w:tc>
        <w:tc>
          <w:tcPr>
            <w:tcW w:type="dxa" w:w="21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Input validity checks</w:t>
            </w:r>
          </w:p>
        </w:tc>
        <w:tc>
          <w:tcPr>
            <w:tcW w:type="dxa" w:w="2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Baseline Dice, spread of drops against case-level noise, sign of drops</w:t>
            </w:r>
          </w:p>
        </w:tc>
        <w:tc>
          <w:tcPr>
            <w:tcW w:type="dxa" w:w="2726"/>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left"/>
            </w:pPr>
            <w:r>
              <w:rPr>
                <w:rFonts w:ascii="Times New Roman" w:cs="Times New Roman" w:eastAsia="Times New Roman" w:hAnsi="Times New Roman"/>
                <w:color w:val="000000"/>
                <w:sz w:val="24"/>
                <w:szCs w:val="24"/>
              </w:rPr>
              <w:t xml:space="preserve">Are the inputs to F meaningful at all?</w:t>
            </w:r>
          </w:p>
        </w:tc>
        <w:tc>
          <w:tcPr>
            <w:tcW w:type="dxa" w:w="750"/>
            <w:tcBorders>
              <w:top w:val="single" w:color="000000" w:sz="6"/>
              <w:left w:val="single" w:color="000000" w:sz="6"/>
              <w:bottom w:val="single" w:color="000000" w:sz="6"/>
              <w:right w:val="single" w:color="000000" w:sz="6"/>
            </w:tcBorders>
            <w:shd w:fill="FFFFFF" w:color="auto" w:val="clear"/>
            <w:tcMar>
              <w:top w:type="dxa" w:w="40"/>
              <w:left w:type="dxa" w:w="100"/>
              <w:bottom w:type="dxa" w:w="40"/>
              <w:right w:type="dxa" w:w="100"/>
            </w:tcMar>
            <w:vAlign w:val="top"/>
          </w:tcPr>
          <w:p>
            <w:pPr>
              <w:keepNext w:val="false"/>
              <w:spacing w:after="0" w:before="0" w:line="360" w:lineRule="auto"/>
              <w:jc w:val="center"/>
            </w:pPr>
            <w:r>
              <w:rPr>
                <w:rFonts w:ascii="Times New Roman" w:cs="Times New Roman" w:eastAsia="Times New Roman" w:hAnsi="Times New Roman"/>
                <w:color w:val="000000"/>
                <w:sz w:val="24"/>
                <w:szCs w:val="24"/>
              </w:rPr>
              <w:t xml:space="preserve">1</w:t>
            </w:r>
          </w:p>
        </w:tc>
      </w:tr>
    </w:tbl>
    <w:p>
      <w:pPr>
        <w:spacing w:after="0" w:before="120" w:line="360" w:lineRule="auto"/>
        <w:ind w:firstLine="0"/>
        <w:jc w:val="both"/>
      </w:pPr>
      <w:r>
        <w:rPr>
          <w:rFonts w:ascii="Times New Roman" w:cs="Times New Roman" w:eastAsia="Times New Roman" w:hAnsi="Times New Roman"/>
          <w:b/>
          <w:bCs/>
          <w:color w:val="000000"/>
          <w:sz w:val="24"/>
          <w:szCs w:val="24"/>
        </w:rPr>
        <w:t xml:space="preserve">C1. Boundary-based correlation.</w:t>
      </w:r>
      <w:r>
        <w:rPr>
          <w:rFonts w:ascii="Times New Roman" w:cs="Times New Roman" w:eastAsia="Times New Roman" w:hAnsi="Times New Roman"/>
          <w:color w:val="000000"/>
          <w:sz w:val="24"/>
          <w:szCs w:val="24"/>
        </w:rPr>
        <w:t xml:space="preserve"> Dice measures volumetric overlap and does not assess whether the boundary of a structure is correct, and it does not penalise over-segmentation and under-segmentation equally (Reinke et al., 2024). Maier-Hein et al. (2024) therefore recommend complementing an overlap-based metric with a boundary-based one. The boundary measure used here is the 95th percentile Hausdorff distance. With ∂</w:t>
      </w:r>
      <w:r>
        <w:rPr>
          <w:rFonts w:ascii="Times New Roman" w:cs="Times New Roman" w:eastAsia="Times New Roman" w:hAnsi="Times New Roman"/>
          <w:i/>
          <w:iCs/>
          <w:color w:val="000000"/>
          <w:sz w:val="24"/>
          <w:szCs w:val="24"/>
        </w:rPr>
        <w:t xml:space="preserve">P</w:t>
      </w:r>
      <w:r>
        <w:rPr>
          <w:rFonts w:ascii="Times New Roman" w:cs="Times New Roman" w:eastAsia="Times New Roman" w:hAnsi="Times New Roman"/>
          <w:color w:val="000000"/>
          <w:sz w:val="24"/>
          <w:szCs w:val="24"/>
        </w:rPr>
        <w:t xml:space="preserve"> and ∂</w:t>
      </w:r>
      <w:r>
        <w:rPr>
          <w:rFonts w:ascii="Times New Roman" w:cs="Times New Roman" w:eastAsia="Times New Roman" w:hAnsi="Times New Roman"/>
          <w:i/>
          <w:iCs/>
          <w:color w:val="000000"/>
          <w:sz w:val="24"/>
          <w:szCs w:val="24"/>
        </w:rPr>
        <w:t xml:space="preserve">G</w:t>
      </w:r>
      <w:r>
        <w:rPr>
          <w:rFonts w:ascii="Times New Roman" w:cs="Times New Roman" w:eastAsia="Times New Roman" w:hAnsi="Times New Roman"/>
          <w:color w:val="000000"/>
          <w:sz w:val="24"/>
          <w:szCs w:val="24"/>
        </w:rPr>
        <w:t xml:space="preserve"> the surfaces of the predicted segmentation </w:t>
      </w:r>
      <w:r>
        <w:rPr>
          <w:rFonts w:ascii="Times New Roman" w:cs="Times New Roman" w:eastAsia="Times New Roman" w:hAnsi="Times New Roman"/>
          <w:i/>
          <w:iCs/>
          <w:color w:val="000000"/>
          <w:sz w:val="24"/>
          <w:szCs w:val="24"/>
        </w:rPr>
        <w:t xml:space="preserve">P</w:t>
      </w:r>
      <w:r>
        <w:rPr>
          <w:rFonts w:ascii="Times New Roman" w:cs="Times New Roman" w:eastAsia="Times New Roman" w:hAnsi="Times New Roman"/>
          <w:color w:val="000000"/>
          <w:sz w:val="24"/>
          <w:szCs w:val="24"/>
        </w:rPr>
        <w:t xml:space="preserve"> and the reference segmentation </w:t>
      </w:r>
      <w:r>
        <w:rPr>
          <w:rFonts w:ascii="Times New Roman" w:cs="Times New Roman" w:eastAsia="Times New Roman" w:hAnsi="Times New Roman"/>
          <w:i/>
          <w:iCs/>
          <w:color w:val="000000"/>
          <w:sz w:val="24"/>
          <w:szCs w:val="24"/>
        </w:rPr>
        <w:t xml:space="preserve">G</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d</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i/>
          <w:iCs/>
          <w:color w:val="000000"/>
          <w:sz w:val="24"/>
          <w:szCs w:val="24"/>
        </w:rPr>
        <w:t xml:space="preserve">x</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Y</w:t>
      </w:r>
      <w:r>
        <w:rPr>
          <w:rFonts w:ascii="Times New Roman" w:cs="Times New Roman" w:eastAsia="Times New Roman" w:hAnsi="Times New Roman"/>
          <w:color w:val="000000"/>
          <w:sz w:val="24"/>
          <w:szCs w:val="24"/>
        </w:rPr>
        <w:t xml:space="preserve">) the distance from a point </w:t>
      </w:r>
      <w:r>
        <w:rPr>
          <w:rFonts w:ascii="Times New Roman" w:cs="Times New Roman" w:eastAsia="Times New Roman" w:hAnsi="Times New Roman"/>
          <w:i/>
          <w:iCs/>
          <w:color w:val="000000"/>
          <w:sz w:val="24"/>
          <w:szCs w:val="24"/>
        </w:rPr>
        <w:t xml:space="preserve">x</w:t>
      </w:r>
      <w:r>
        <w:rPr>
          <w:rFonts w:ascii="Times New Roman" w:cs="Times New Roman" w:eastAsia="Times New Roman" w:hAnsi="Times New Roman"/>
          <w:color w:val="000000"/>
          <w:sz w:val="24"/>
          <w:szCs w:val="24"/>
        </w:rPr>
        <w:t xml:space="preserve"> to the nearest point of a surface </w:t>
      </w:r>
      <w:r>
        <w:rPr>
          <w:rFonts w:ascii="Times New Roman" w:cs="Times New Roman" w:eastAsia="Times New Roman" w:hAnsi="Times New Roman"/>
          <w:i/>
          <w:iCs/>
          <w:color w:val="000000"/>
          <w:sz w:val="24"/>
          <w:szCs w:val="24"/>
        </w:rPr>
        <w:t xml:space="preserve">Y</w:t>
      </w:r>
      <w:r>
        <w:rPr>
          <w:rFonts w:ascii="Times New Roman" w:cs="Times New Roman" w:eastAsia="Times New Roman" w:hAnsi="Times New Roman"/>
          <w:color w:val="000000"/>
          <w:sz w:val="24"/>
          <w:szCs w:val="24"/>
        </w:rPr>
        <w:t xml:space="preserve">, and </w:t>
      </w:r>
      <w:r>
        <w:rPr>
          <w:rFonts w:ascii="Times New Roman" w:cs="Times New Roman" w:eastAsia="Times New Roman" w:hAnsi="Times New Roman"/>
          <w:i/>
          <w:iCs/>
          <w:color w:val="000000"/>
          <w:sz w:val="24"/>
          <w:szCs w:val="24"/>
        </w:rPr>
        <w:t xml:space="preserve">Q</w:t>
      </w:r>
      <w:r>
        <w:rPr>
          <w:rFonts w:ascii="Times New Roman" w:cs="Times New Roman" w:eastAsia="Times New Roman" w:hAnsi="Times New Roman"/>
          <w:color w:val="000000"/>
          <w:sz w:val="24"/>
          <w:szCs w:val="24"/>
          <w:vertAlign w:val="subscript"/>
        </w:rPr>
        <w:t xml:space="preserve">95</w:t>
      </w:r>
      <w:r>
        <w:rPr>
          <w:rFonts w:ascii="Times New Roman" w:cs="Times New Roman" w:eastAsia="Times New Roman" w:hAnsi="Times New Roman"/>
          <w:color w:val="000000"/>
          <w:sz w:val="24"/>
          <w:szCs w:val="24"/>
        </w:rPr>
        <w:t xml:space="preserve"> the 95th percentile of a set of distances:</w:t>
      </w:r>
    </w:p>
    <w:p>
      <w:pPr>
        <w:tabs>
          <w:tab w:val="center" w:pos="4513"/>
          <w:tab w:val="right" w:pos="9026"/>
        </w:tabs>
        <w:spacing w:after="0" w:before="120" w:line="360" w:lineRule="auto"/>
      </w:pPr>
      <w:r>
        <w:rPr>
          <w:rFonts w:ascii="Times New Roman" w:cs="Times New Roman" w:eastAsia="Times New Roman" w:hAnsi="Times New Roman"/>
          <w:sz w:val="24"/>
          <w:szCs w:val="24"/>
        </w:rPr>
        <w:tab/>
      </w:r>
      <m:oMath>
        <m:r>
          <m:t>HD95</m:t>
        </m:r>
        <m:d>
          <m:dPr/>
          <m:e>
            <m:r>
              <m:t>P, G</m:t>
            </m:r>
          </m:e>
        </m:d>
        <m:r>
          <m:t> = max </m:t>
        </m:r>
        <m:d>
          <m:dPr/>
          <m:e>
            <m:sSub>
              <m:sSubPr/>
              <m:e>
                <m:r>
                  <m:t>Q</m:t>
                </m:r>
              </m:e>
              <m:sub>
                <m:r>
                  <m:t>95</m:t>
                </m:r>
              </m:sub>
            </m:sSub>
            <m:d>
              <m:dPr>
                <m:begChr m:val="{"/>
                <m:endChr m:val="}"/>
              </m:dPr>
              <m:e>
                <m:r>
                  <m:t>d</m:t>
                </m:r>
                <m:d>
                  <m:dPr/>
                  <m:e>
                    <m:r>
                      <m:t>p, ∂G</m:t>
                    </m:r>
                  </m:e>
                </m:d>
                <m:r>
                  <m:t> : p ∈ ∂P</m:t>
                </m:r>
              </m:e>
            </m:d>
            <m:r>
              <m:t> ,  </m:t>
            </m:r>
            <m:sSub>
              <m:sSubPr/>
              <m:e>
                <m:r>
                  <m:t>Q</m:t>
                </m:r>
              </m:e>
              <m:sub>
                <m:r>
                  <m:t>95</m:t>
                </m:r>
              </m:sub>
            </m:sSub>
            <m:d>
              <m:dPr>
                <m:begChr m:val="{"/>
                <m:endChr m:val="}"/>
              </m:dPr>
              <m:e>
                <m:r>
                  <m:t>d</m:t>
                </m:r>
                <m:d>
                  <m:dPr/>
                  <m:e>
                    <m:r>
                      <m:t>g, ∂P</m:t>
                    </m:r>
                  </m:e>
                </m:d>
                <m:r>
                  <m:t> : g ∈ ∂G</m:t>
                </m:r>
              </m:e>
            </m:d>
          </m:e>
        </m:d>
      </m:oMath>
      <w:r>
        <w:rPr>
          <w:rFonts w:ascii="Times New Roman" w:cs="Times New Roman" w:eastAsia="Times New Roman" w:hAnsi="Times New Roman"/>
          <w:sz w:val="24"/>
          <w:szCs w:val="24"/>
        </w:rPr>
        <w:tab/>
        <w:t xml:space="preserve">(7)</w:t>
      </w:r>
    </w:p>
    <w:p>
      <w:pPr>
        <w:spacing w:after="0" w:before="120" w:line="360" w:lineRule="auto"/>
        <w:ind w:firstLine="0"/>
        <w:jc w:val="both"/>
      </w:pPr>
      <w:r>
        <w:rPr>
          <w:rFonts w:ascii="Times New Roman" w:cs="Times New Roman" w:eastAsia="Times New Roman" w:hAnsi="Times New Roman"/>
          <w:color w:val="000000"/>
          <w:sz w:val="24"/>
          <w:szCs w:val="24"/>
        </w:rPr>
        <w:t xml:space="preserve">The 95th percentile is used in place of the maximum because the plain Hausdorff distance is highly sensitive to a few outlying voxels, and HD95 was designed to deal with such spatial outliers (Reinke et al., 2024). Distances are computed on the volume using the physical voxel spacing, so that values are in millimetres and comparable across vendors with different image resolutions. Because a larger HD95 is worse, the degradation is defined as the shifted value minus the clean value, and C1 is the Spearman correlation between the simulated and real increases. Boone et al. (2023) report both Dice and HD95, and their within-site correlation for mean HD95 under noise was 0.75, which gives a direct point of comparison. Where annotation imprecision should be compensated, the default recommendation of Maier-Hein et al. (2024) is the normalised surface distance. It is not adopted here because it requires a tolerance parameter whose justified value depends on inter-rater variability, which this project does not estimate.</w:t>
      </w:r>
    </w:p>
    <w:p>
      <w:pPr>
        <w:spacing w:after="0" w:before="120" w:line="360" w:lineRule="auto"/>
        <w:ind w:firstLine="0"/>
        <w:jc w:val="both"/>
      </w:pPr>
      <w:r>
        <w:rPr>
          <w:rFonts w:ascii="Times New Roman" w:cs="Times New Roman" w:eastAsia="Times New Roman" w:hAnsi="Times New Roman"/>
          <w:b/>
          <w:bCs/>
          <w:color w:val="000000"/>
          <w:sz w:val="24"/>
          <w:szCs w:val="24"/>
        </w:rPr>
        <w:t xml:space="preserve">C2. Per-structure correlation.</w:t>
      </w:r>
      <w:r>
        <w:rPr>
          <w:rFonts w:ascii="Times New Roman" w:cs="Times New Roman" w:eastAsia="Times New Roman" w:hAnsi="Times New Roman"/>
          <w:color w:val="000000"/>
          <w:sz w:val="24"/>
          <w:szCs w:val="24"/>
        </w:rPr>
        <w:t xml:space="preserve"> F is recomputed three times, using the Dice of the LV, the MYO and the RV in place of the case mean. Averaging over structures can hide a failure in one of them (Maier-Hein et al., 2024). The myocardium deserves particular attention: it is a thin structure, and for small or thin targets a difference of a few voxels changes Dice considerably (Reinke et al., 2024).</w:t>
      </w:r>
    </w:p>
    <w:p>
      <w:pPr>
        <w:spacing w:after="0" w:before="120" w:line="360" w:lineRule="auto"/>
        <w:ind w:firstLine="0"/>
        <w:jc w:val="both"/>
      </w:pPr>
      <w:r>
        <w:rPr>
          <w:rFonts w:ascii="Times New Roman" w:cs="Times New Roman" w:eastAsia="Times New Roman" w:hAnsi="Times New Roman"/>
          <w:b/>
          <w:bCs/>
          <w:color w:val="000000"/>
          <w:sz w:val="24"/>
          <w:szCs w:val="24"/>
        </w:rPr>
        <w:t xml:space="preserve">C3. Per-vendor correlation.</w:t>
      </w:r>
      <w:r>
        <w:rPr>
          <w:rFonts w:ascii="Times New Roman" w:cs="Times New Roman" w:eastAsia="Times New Roman" w:hAnsi="Times New Roman"/>
          <w:color w:val="000000"/>
          <w:sz w:val="24"/>
          <w:szCs w:val="24"/>
        </w:rPr>
        <w:t xml:space="preserve"> F is recomputed against the real drop on each unseen vendor separately. A proxy that tracks one vendor and not the others is of limited use, and a pooled coefficient cannot distinguish that case from uniform agreement. Full et al. (2020) found on this dataset that models trained on vendor B and tested on vendor A lost far more accuracy than models trained and tested in the reverse direction, so unequal behaviour across vendors is expected and should be visible in the results.</w:t>
      </w:r>
    </w:p>
    <w:p>
      <w:pPr>
        <w:spacing w:after="0" w:before="120" w:line="360" w:lineRule="auto"/>
        <w:ind w:firstLine="0"/>
        <w:jc w:val="both"/>
      </w:pPr>
      <w:r>
        <w:rPr>
          <w:rFonts w:ascii="Times New Roman" w:cs="Times New Roman" w:eastAsia="Times New Roman" w:hAnsi="Times New Roman"/>
          <w:b/>
          <w:bCs/>
          <w:color w:val="000000"/>
          <w:sz w:val="24"/>
          <w:szCs w:val="24"/>
        </w:rPr>
        <w:t xml:space="preserve">C4. Per-corruption correlation.</w:t>
      </w:r>
      <w:r>
        <w:rPr>
          <w:rFonts w:ascii="Times New Roman" w:cs="Times New Roman" w:eastAsia="Times New Roman" w:hAnsi="Times New Roman"/>
          <w:color w:val="000000"/>
          <w:sz w:val="24"/>
          <w:szCs w:val="24"/>
        </w:rPr>
        <w:t xml:space="preserve"> F is recomputed with the simulated drop restricted to one corruption family at a time, and then to one severity level at a time. This shows which simulated corruptions, if any, carry the relation. It also shows whether the conclusion depends on the severity grid, which addresses the circularity concern raised in Section 6.3.</w:t>
      </w:r>
    </w:p>
    <w:p>
      <w:pPr>
        <w:spacing w:after="0" w:before="120" w:line="360" w:lineRule="auto"/>
        <w:ind w:firstLine="0"/>
        <w:jc w:val="both"/>
      </w:pPr>
      <w:r>
        <w:rPr>
          <w:rFonts w:ascii="Times New Roman" w:cs="Times New Roman" w:eastAsia="Times New Roman" w:hAnsi="Times New Roman"/>
          <w:color w:val="000000"/>
          <w:sz w:val="24"/>
          <w:szCs w:val="24"/>
        </w:rPr>
        <w:t xml:space="preserve">The correlations in C1 to C4 are descriptive. There are more than ten of them, each estimated from the same small set of models, so no significance claims are attached to them individually and they are reported with their intervals only.</w:t>
      </w:r>
    </w:p>
    <w:p>
      <w:pPr>
        <w:spacing w:after="0" w:before="120" w:line="360" w:lineRule="auto"/>
        <w:ind w:firstLine="0"/>
        <w:jc w:val="both"/>
      </w:pPr>
      <w:r>
        <w:rPr>
          <w:rFonts w:ascii="Times New Roman" w:cs="Times New Roman" w:eastAsia="Times New Roman" w:hAnsi="Times New Roman"/>
          <w:b/>
          <w:bCs/>
          <w:color w:val="000000"/>
          <w:sz w:val="24"/>
          <w:szCs w:val="24"/>
        </w:rPr>
        <w:t xml:space="preserve">C5. Uncertainty of F.</w:t>
      </w:r>
      <w:r>
        <w:rPr>
          <w:rFonts w:ascii="Times New Roman" w:cs="Times New Roman" w:eastAsia="Times New Roman" w:hAnsi="Times New Roman"/>
          <w:color w:val="000000"/>
          <w:sz w:val="24"/>
          <w:szCs w:val="24"/>
        </w:rPr>
        <w:t xml:space="preserve"> Three quantities are reported with the point estimate. The first is a 95% percentile bootstrap interval from 10,000 resamples of the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models, drawn with replacement and keeping the two drops of each model together (Efron &amp; Tibshirani, 1993). In a companion simulation of 3,000 studies per setting, this interval contained the true value in 96% to 98% of runs for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between 10 and 15, so it is slightly conservative, and its mean width was between 0.62 and 0.84 when the true correlation was 0.76. The second is the one-sided permutation </w:t>
      </w:r>
      <w:r>
        <w:rPr>
          <w:rFonts w:ascii="Times New Roman" w:cs="Times New Roman" w:eastAsia="Times New Roman" w:hAnsi="Times New Roman"/>
          <w:i/>
          <w:iCs/>
          <w:color w:val="000000"/>
          <w:sz w:val="24"/>
          <w:szCs w:val="24"/>
        </w:rPr>
        <w:t xml:space="preserve">p</w:t>
      </w:r>
      <w:r>
        <w:rPr>
          <w:rFonts w:ascii="Times New Roman" w:cs="Times New Roman" w:eastAsia="Times New Roman" w:hAnsi="Times New Roman"/>
          <w:color w:val="000000"/>
          <w:sz w:val="24"/>
          <w:szCs w:val="24"/>
        </w:rPr>
        <w:t xml:space="preserve">-value. The third is the leave-one-model-out range: F is recomputed </w:t>
      </w:r>
      <w:r>
        <w:rPr>
          <w:rFonts w:ascii="Times New Roman" w:cs="Times New Roman" w:eastAsia="Times New Roman" w:hAnsi="Times New Roman"/>
          <w:i/>
          <w:iCs/>
          <w:color w:val="000000"/>
          <w:sz w:val="24"/>
          <w:szCs w:val="24"/>
        </w:rPr>
        <w:t xml:space="preserve">M</w:t>
      </w:r>
      <w:r>
        <w:rPr>
          <w:rFonts w:ascii="Times New Roman" w:cs="Times New Roman" w:eastAsia="Times New Roman" w:hAnsi="Times New Roman"/>
          <w:color w:val="000000"/>
          <w:sz w:val="24"/>
          <w:szCs w:val="24"/>
        </w:rPr>
        <w:t xml:space="preserve"> times with one model removed, and the minimum and maximum are reported. If removing any single model moves F into a different band of Table 1, the outcome is reported as dependent on that model.</w:t>
      </w:r>
    </w:p>
    <w:p>
      <w:pPr>
        <w:spacing w:after="0" w:before="120" w:line="360" w:lineRule="auto"/>
        <w:ind w:firstLine="0"/>
        <w:jc w:val="both"/>
      </w:pPr>
      <w:r>
        <w:rPr>
          <w:rFonts w:ascii="Times New Roman" w:cs="Times New Roman" w:eastAsia="Times New Roman" w:hAnsi="Times New Roman"/>
          <w:b/>
          <w:bCs/>
          <w:color w:val="000000"/>
          <w:sz w:val="24"/>
          <w:szCs w:val="24"/>
        </w:rPr>
        <w:t xml:space="preserve">C6. Sensitivity to analytic choices.</w:t>
      </w:r>
      <w:r>
        <w:rPr>
          <w:rFonts w:ascii="Times New Roman" w:cs="Times New Roman" w:eastAsia="Times New Roman" w:hAnsi="Times New Roman"/>
          <w:color w:val="000000"/>
          <w:sz w:val="24"/>
          <w:szCs w:val="24"/>
        </w:rPr>
        <w:t xml:space="preserve"> F is recomputed under four alternatives, changing one choice at a time: Kendall’s rank coefficient in place of Spearman’s; the Pearson coefficient in place of Spearman’s; the relative drop, in which each drop is divided by the clean baseline </w:t>
      </w:r>
      <w:r>
        <w:rPr>
          <w:rFonts w:ascii="Times New Roman" w:cs="Times New Roman" w:eastAsia="Times New Roman" w:hAnsi="Times New Roman"/>
          <w:i/>
          <w:iCs/>
          <w:color w:val="000000"/>
          <w:sz w:val="24"/>
          <w:szCs w:val="24"/>
        </w:rPr>
        <w:t xml:space="preserve">D</w:t>
      </w:r>
      <w:r>
        <w:rPr>
          <w:rFonts w:ascii="Times New Roman" w:cs="Times New Roman" w:eastAsia="Times New Roman" w:hAnsi="Times New Roman"/>
          <w:i/>
          <w:iCs/>
          <w:color w:val="000000"/>
          <w:sz w:val="24"/>
          <w:szCs w:val="24"/>
          <w:vertAlign w:val="subscript"/>
        </w:rPr>
        <w:t xml:space="preserve">m</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i/>
          <w:iCs/>
          <w:color w:val="000000"/>
          <w:sz w:val="24"/>
          <w:szCs w:val="24"/>
        </w:rPr>
        <w:t xml:space="preserve">T</w:t>
      </w:r>
      <w:r>
        <w:rPr>
          <w:rFonts w:ascii="Times New Roman" w:cs="Times New Roman" w:eastAsia="Times New Roman" w:hAnsi="Times New Roman"/>
          <w:color w:val="000000"/>
          <w:sz w:val="24"/>
          <w:szCs w:val="24"/>
          <w:vertAlign w:val="subscript"/>
        </w:rPr>
        <w:t xml:space="preserve">B</w:t>
      </w:r>
      <w:r>
        <w:rPr>
          <w:rFonts w:ascii="Times New Roman" w:cs="Times New Roman" w:eastAsia="Times New Roman" w:hAnsi="Times New Roman"/>
          <w:color w:val="000000"/>
          <w:sz w:val="24"/>
          <w:szCs w:val="24"/>
        </w:rPr>
        <w:t xml:space="preserve">), in place of the absolute drop; and a severity-weighted mean of the corrupted conditions in place of the unweighted mean, using the weights </w:t>
      </w:r>
      <w:r>
        <w:rPr>
          <w:rFonts w:ascii="Times New Roman" w:cs="Times New Roman" w:eastAsia="Times New Roman" w:hAnsi="Times New Roman"/>
          <w:i/>
          <w:iCs/>
          <w:color w:val="000000"/>
          <w:sz w:val="24"/>
          <w:szCs w:val="24"/>
        </w:rPr>
        <w:t xml:space="preserve">w</w:t>
      </w:r>
      <w:r>
        <w:rPr>
          <w:rFonts w:ascii="Times New Roman" w:cs="Times New Roman" w:eastAsia="Times New Roman" w:hAnsi="Times New Roman"/>
          <w:i/>
          <w:iCs/>
          <w:color w:val="000000"/>
          <w:sz w:val="24"/>
          <w:szCs w:val="24"/>
          <w:vertAlign w:val="subscript"/>
        </w:rPr>
        <w:t xml:space="preserve">s</w:t>
      </w:r>
      <w:r>
        <w:rPr>
          <w:rFonts w:ascii="Times New Roman" w:cs="Times New Roman" w:eastAsia="Times New Roman" w:hAnsi="Times New Roman"/>
          <w:color w:val="000000"/>
          <w:sz w:val="24"/>
          <w:szCs w:val="24"/>
        </w:rPr>
        <w:t xml:space="preserve"> = α</w:t>
      </w:r>
      <w:r>
        <w:rPr>
          <w:rFonts w:ascii="Times New Roman" w:cs="Times New Roman" w:eastAsia="Times New Roman" w:hAnsi="Times New Roman"/>
          <w:i/>
          <w:iCs/>
          <w:color w:val="000000"/>
          <w:sz w:val="24"/>
          <w:szCs w:val="24"/>
          <w:vertAlign w:val="superscript"/>
        </w:rPr>
        <w:t xml:space="preserve">s</w:t>
      </w:r>
      <w:r>
        <w:rPr>
          <w:rFonts w:ascii="Times New Roman" w:cs="Times New Roman" w:eastAsia="Times New Roman" w:hAnsi="Times New Roman"/>
          <w:color w:val="000000"/>
          <w:sz w:val="24"/>
          <w:szCs w:val="24"/>
        </w:rPr>
        <w:t xml:space="preserve"> with α = 2/3 from Boone et al. (2023). Agreement across the alternatives indicates that the outcome does not hinge on a single decision made in Sections 6.6.3 and 6.6.4.</w:t>
      </w:r>
    </w:p>
    <w:p>
      <w:pPr>
        <w:spacing w:after="0" w:before="120" w:line="360" w:lineRule="auto"/>
        <w:ind w:firstLine="0"/>
        <w:jc w:val="both"/>
      </w:pPr>
      <w:r>
        <w:rPr>
          <w:rFonts w:ascii="Times New Roman" w:cs="Times New Roman" w:eastAsia="Times New Roman" w:hAnsi="Times New Roman"/>
          <w:b/>
          <w:bCs/>
          <w:color w:val="000000"/>
          <w:sz w:val="24"/>
          <w:szCs w:val="24"/>
        </w:rPr>
        <w:t xml:space="preserve">C7. Input validity checks.</w:t>
      </w:r>
      <w:r>
        <w:rPr>
          <w:rFonts w:ascii="Times New Roman" w:cs="Times New Roman" w:eastAsia="Times New Roman" w:hAnsi="Times New Roman"/>
          <w:color w:val="000000"/>
          <w:sz w:val="24"/>
          <w:szCs w:val="24"/>
        </w:rPr>
        <w:t xml:space="preserve"> A correlation is only as meaningful as the values entering it, and three checks are applied before F is interpreted. The first is baseline adequacy. The clean Dice of every model is reported, and a model that failed to train is excluded by a minimum baseline Dice that is fixed after the first baseline run and before any shifted evaluation. The second is spread against noise. The standard deviation of each drop across models is compared with the mean standard error of a single model’s drop, estimated by a bootstrap over test patients. If the between-model standard deviation does not exceed that standard error for either drop, the models cannot be told apart on that axis, their ranks are mostly noise, and F is reported as uninterpretable whatever its value. This check matters because the models in Section 6.2 differ mainly by random seed and minor configuration and may degrade by nearly the same amount. In Boone et al. (2023), by contrast, the models differed in their augmentation settings, which is what produced a spread of degradation values to correlate. The third is direction. The share of models with a negative drop, meaning better performance under shift, is reported for both arms.</w:t>
      </w:r>
    </w:p>
    <w:p>
      <w:pPr>
        <w:pStyle w:val="Heading3"/>
        <w:keepNext/>
        <w:spacing w:after="0" w:before="120" w:line="360" w:lineRule="auto"/>
        <w:jc w:val="both"/>
      </w:pPr>
      <w:r>
        <w:rPr>
          <w:rFonts w:ascii="Times New Roman" w:cs="Times New Roman" w:eastAsia="Times New Roman" w:hAnsi="Times New Roman"/>
          <w:i/>
          <w:iCs/>
          <w:color w:val="000000"/>
          <w:sz w:val="24"/>
          <w:szCs w:val="24"/>
        </w:rPr>
        <w:t xml:space="preserve">6.6.7. Undefined and Degenerate Values</w:t>
      </w:r>
    </w:p>
    <w:p>
      <w:pPr>
        <w:spacing w:after="0" w:before="120" w:line="360" w:lineRule="auto"/>
        <w:ind w:firstLine="0"/>
        <w:jc w:val="both"/>
      </w:pPr>
      <w:r>
        <w:rPr>
          <w:rFonts w:ascii="Times New Roman" w:cs="Times New Roman" w:eastAsia="Times New Roman" w:hAnsi="Times New Roman"/>
          <w:color w:val="000000"/>
          <w:sz w:val="24"/>
          <w:szCs w:val="24"/>
        </w:rPr>
        <w:t xml:space="preserve">Some metric values are undefined when a mask is empty (Reinke et al., 2024), so the handling of such cases is fixed in advance. The annotated volumes are expected to contain all three structures, in which case Dice is always defined and an empty prediction for a structure scores zero. Any volume in which a structure is absent from the reference is excluded for that structure and counted. HD95 is undefined when the prediction is empty. In that case the value is set to the length of the diagonal of the image volume in millimetres, the largest distance the volume allows, so that a complete miss is penalised and not dropped. The number of such cases is reported per model and per evaluation set. As a sensitivity analysis, C1 is also computed with these cases excluded, which is the handling used by Boone et al. (2023).</w:t>
      </w:r>
    </w:p>
    <w:p>
      <w:pPr>
        <w:pStyle w:val="Heading3"/>
        <w:keepNext/>
        <w:spacing w:after="0" w:before="120" w:line="360" w:lineRule="auto"/>
        <w:jc w:val="both"/>
      </w:pPr>
      <w:r>
        <w:rPr>
          <w:rFonts w:ascii="Times New Roman" w:cs="Times New Roman" w:eastAsia="Times New Roman" w:hAnsi="Times New Roman"/>
          <w:i/>
          <w:iCs/>
          <w:color w:val="000000"/>
          <w:sz w:val="24"/>
          <w:szCs w:val="24"/>
        </w:rPr>
        <w:t xml:space="preserve">6.6.8. Implementation and Reporting</w:t>
      </w:r>
    </w:p>
    <w:p>
      <w:pPr>
        <w:spacing w:after="0" w:before="120" w:line="360" w:lineRule="auto"/>
        <w:ind w:firstLine="0"/>
        <w:jc w:val="both"/>
      </w:pPr>
      <w:r>
        <w:rPr>
          <w:rFonts w:ascii="Times New Roman" w:cs="Times New Roman" w:eastAsia="Times New Roman" w:hAnsi="Times New Roman"/>
          <w:color w:val="000000"/>
          <w:sz w:val="24"/>
          <w:szCs w:val="24"/>
        </w:rPr>
        <w:t xml:space="preserve">Dice and HD95 are computed with the metric implementations in MONAI (Cardoso et al., 2022), and the correlation, permutation and bootstrap procedures with SciPy. All scores are written to a single table with one row per model, patient, phase, structure and evaluation condition. F and every Tier 1 and Tier 2 analysis are then computed from that table by regrouping, with no further model inference. The definitions in this subsection, the severity grid of Section 6.3 and the analysis code are frozen in a dated commit before any model is evaluated on vendors A, C and D.</w:t>
      </w:r>
    </w:p>
    <w:p>
      <w:pPr>
        <w:spacing w:after="0" w:before="120" w:line="360" w:lineRule="auto"/>
        <w:ind w:firstLine="0"/>
        <w:jc w:val="both"/>
      </w:pPr>
      <w:r>
        <w:rPr>
          <w:rFonts w:ascii="Times New Roman" w:cs="Times New Roman" w:eastAsia="Times New Roman" w:hAnsi="Times New Roman"/>
          <w:color w:val="000000"/>
          <w:sz w:val="24"/>
          <w:szCs w:val="24"/>
        </w:rPr>
        <w:t xml:space="preserve">The results section will contain four items: a table with one row per model giving the clean Dice, both drops and both ranks; a scatter plot of the simulated drop against the real drop with each model labelled; a table of F and all critical correlations with their bootstrap intervals; and the outcome assigned by Table 1 together with any qualification arising from C1 to C7.</w:t>
      </w:r>
    </w:p>
    <w:p>
      <w:pPr>
        <w:pStyle w:val="Heading3"/>
        <w:keepNext/>
        <w:spacing w:after="0" w:before="120" w:line="360" w:lineRule="auto"/>
        <w:jc w:val="both"/>
      </w:pPr>
      <w:r>
        <w:rPr>
          <w:rFonts w:ascii="Times New Roman" w:cs="Times New Roman" w:eastAsia="Times New Roman" w:hAnsi="Times New Roman"/>
          <w:i/>
          <w:iCs/>
          <w:color w:val="000000"/>
          <w:sz w:val="24"/>
          <w:szCs w:val="24"/>
        </w:rPr>
        <w:t xml:space="preserve">6.6.9. Limitations of the Metric Design</w:t>
      </w:r>
    </w:p>
    <w:p>
      <w:pPr>
        <w:spacing w:after="0" w:before="120" w:line="360" w:lineRule="auto"/>
        <w:ind w:firstLine="0"/>
        <w:jc w:val="both"/>
      </w:pPr>
      <w:r>
        <w:rPr>
          <w:rFonts w:ascii="Times New Roman" w:cs="Times New Roman" w:eastAsia="Times New Roman" w:hAnsi="Times New Roman"/>
          <w:color w:val="000000"/>
          <w:sz w:val="24"/>
          <w:szCs w:val="24"/>
        </w:rPr>
        <w:t xml:space="preserve">The main limitation is precision. Table 2 shows that 10 to 15 models can separate a strong relation from no relation, but cannot reliably separate a strong relation from a moderate one. An “inconclusive” outcome is a realistic possibility and will be reported as such.</w:t>
      </w:r>
    </w:p>
    <w:p>
      <w:pPr>
        <w:spacing w:after="0" w:before="120" w:line="360" w:lineRule="auto"/>
        <w:ind w:firstLine="0"/>
        <w:jc w:val="both"/>
      </w:pPr>
      <w:r>
        <w:rPr>
          <w:rFonts w:ascii="Times New Roman" w:cs="Times New Roman" w:eastAsia="Times New Roman" w:hAnsi="Times New Roman"/>
          <w:color w:val="000000"/>
          <w:sz w:val="24"/>
          <w:szCs w:val="24"/>
        </w:rPr>
        <w:t xml:space="preserve">The final metric is built on Dice and inherits its blind spots, which C1 and C2 are intended to expose and cannot remove. The outcome applies to one dataset, one anatomy and one training vendor. The four corruption families used here do not include noise or motion, the two artifact types that Boone et al. (2023) validated within one site, so the present result neither replicates nor contradicts theirs and is best read as a test of a different set of corruptions under a harder kind of shift. Finally, a population of similar small models may show less variation in degradation than the 204 models studied in natural images by Taori et al. (2020). Check C7 determines whether that variation is sufficient for F to be interpreted.</w:t>
      </w:r>
    </w:p>
    <w:p>
      <w:pPr>
        <w:pStyle w:val="Heading1"/>
        <w:keepNext/>
        <w:spacing w:after="0" w:before="120" w:line="360" w:lineRule="auto"/>
        <w:jc w:val="both"/>
      </w:pPr>
      <w:r>
        <w:rPr>
          <w:rFonts w:ascii="Times New Roman" w:cs="Times New Roman" w:eastAsia="Times New Roman" w:hAnsi="Times New Roman"/>
          <w:b/>
          <w:bCs/>
          <w:color w:val="000000"/>
          <w:sz w:val="24"/>
          <w:szCs w:val="24"/>
        </w:rPr>
        <w:t xml:space="preserve">REFERENCES</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Boone, L., Biparva, M., Mojiri Forooshani, P., Ramirez, J., Masellis, M., Bartha, R., Symons, S., Strother, S., Black, S. E., Heyn, C., Martel, A. L., Swartz, R. H., &amp; Goubran, M. (2023). ROOD-MRI: Benchmarking the robustness of deep learning segmentation models to out-of-distribution and corrupted data in MRI. </w:t>
      </w:r>
      <w:r>
        <w:rPr>
          <w:rFonts w:ascii="Times New Roman" w:cs="Times New Roman" w:eastAsia="Times New Roman" w:hAnsi="Times New Roman"/>
          <w:i/>
          <w:iCs/>
          <w:color w:val="000000"/>
          <w:sz w:val="24"/>
          <w:szCs w:val="24"/>
        </w:rPr>
        <w:t xml:space="preserve">NeuroImage, 278</w:t>
      </w:r>
      <w:r>
        <w:rPr>
          <w:rFonts w:ascii="Times New Roman" w:cs="Times New Roman" w:eastAsia="Times New Roman" w:hAnsi="Times New Roman"/>
          <w:color w:val="000000"/>
          <w:sz w:val="24"/>
          <w:szCs w:val="24"/>
        </w:rPr>
        <w:t xml:space="preserve">, 120289. https://doi.org/10.1016/j.neuroimage.2023.120289</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Campello, V. M., Gkontra, P., Izquierdo, C., et al. (2021). Multi-centre, multi-vendor and multi-disease cardiac segmentation: The M&amp;Ms challenge. </w:t>
      </w:r>
      <w:r>
        <w:rPr>
          <w:rFonts w:ascii="Times New Roman" w:cs="Times New Roman" w:eastAsia="Times New Roman" w:hAnsi="Times New Roman"/>
          <w:i/>
          <w:iCs/>
          <w:color w:val="000000"/>
          <w:sz w:val="24"/>
          <w:szCs w:val="24"/>
        </w:rPr>
        <w:t xml:space="preserve">IEEE Transactions on Medical Imaging, 40</w:t>
      </w:r>
      <w:r>
        <w:rPr>
          <w:rFonts w:ascii="Times New Roman" w:cs="Times New Roman" w:eastAsia="Times New Roman" w:hAnsi="Times New Roman"/>
          <w:color w:val="000000"/>
          <w:sz w:val="24"/>
          <w:szCs w:val="24"/>
        </w:rPr>
        <w:t xml:space="preserve">(12), 3543–3554. https://doi.org/10.1109/TMI.2021.3090082</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Cardoso, M. J., Li, W., Brown, R., et al. (2022). </w:t>
      </w:r>
      <w:r>
        <w:rPr>
          <w:rFonts w:ascii="Times New Roman" w:cs="Times New Roman" w:eastAsia="Times New Roman" w:hAnsi="Times New Roman"/>
          <w:i/>
          <w:iCs/>
          <w:color w:val="000000"/>
          <w:sz w:val="24"/>
          <w:szCs w:val="24"/>
        </w:rPr>
        <w:t xml:space="preserve">MONAI: An open-source framework for deep learning in healthcare</w:t>
      </w:r>
      <w:r>
        <w:rPr>
          <w:rFonts w:ascii="Times New Roman" w:cs="Times New Roman" w:eastAsia="Times New Roman" w:hAnsi="Times New Roman"/>
          <w:color w:val="000000"/>
          <w:sz w:val="24"/>
          <w:szCs w:val="24"/>
        </w:rPr>
        <w:t xml:space="preserve">. arXiv. https://arxiv.org/abs/2211.02701</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Dice, L. R. (1945). Measures of the amount of ecologic association between species. </w:t>
      </w:r>
      <w:r>
        <w:rPr>
          <w:rFonts w:ascii="Times New Roman" w:cs="Times New Roman" w:eastAsia="Times New Roman" w:hAnsi="Times New Roman"/>
          <w:i/>
          <w:iCs/>
          <w:color w:val="000000"/>
          <w:sz w:val="24"/>
          <w:szCs w:val="24"/>
        </w:rPr>
        <w:t xml:space="preserve">Ecology, 26</w:t>
      </w:r>
      <w:r>
        <w:rPr>
          <w:rFonts w:ascii="Times New Roman" w:cs="Times New Roman" w:eastAsia="Times New Roman" w:hAnsi="Times New Roman"/>
          <w:color w:val="000000"/>
          <w:sz w:val="24"/>
          <w:szCs w:val="24"/>
        </w:rPr>
        <w:t xml:space="preserve">(3), 297–302. https://doi.org/10.2307/1932409</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Efron, B., &amp; Tibshirani, R. J. (1993). </w:t>
      </w:r>
      <w:r>
        <w:rPr>
          <w:rFonts w:ascii="Times New Roman" w:cs="Times New Roman" w:eastAsia="Times New Roman" w:hAnsi="Times New Roman"/>
          <w:i/>
          <w:iCs/>
          <w:color w:val="000000"/>
          <w:sz w:val="24"/>
          <w:szCs w:val="24"/>
        </w:rPr>
        <w:t xml:space="preserve">An introduction to the bootstrap</w:t>
      </w:r>
      <w:r>
        <w:rPr>
          <w:rFonts w:ascii="Times New Roman" w:cs="Times New Roman" w:eastAsia="Times New Roman" w:hAnsi="Times New Roman"/>
          <w:color w:val="000000"/>
          <w:sz w:val="24"/>
          <w:szCs w:val="24"/>
        </w:rPr>
        <w:t xml:space="preserve">. Chapman &amp; Hall.</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Full, P. M., Isensee, F., Jäger, P. F., &amp; Maier-Hein, K. (2020). </w:t>
      </w:r>
      <w:r>
        <w:rPr>
          <w:rFonts w:ascii="Times New Roman" w:cs="Times New Roman" w:eastAsia="Times New Roman" w:hAnsi="Times New Roman"/>
          <w:i/>
          <w:iCs/>
          <w:color w:val="000000"/>
          <w:sz w:val="24"/>
          <w:szCs w:val="24"/>
        </w:rPr>
        <w:t xml:space="preserve">Studying robustness of semantic segmentation under domain shift in cardiac MRI</w:t>
      </w:r>
      <w:r>
        <w:rPr>
          <w:rFonts w:ascii="Times New Roman" w:cs="Times New Roman" w:eastAsia="Times New Roman" w:hAnsi="Times New Roman"/>
          <w:color w:val="000000"/>
          <w:sz w:val="24"/>
          <w:szCs w:val="24"/>
        </w:rPr>
        <w:t xml:space="preserve">. arXiv. https://arxiv.org/abs/2011.07592</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Maier-Hein, L., Reinke, A., Godau, P., et al. (2024). Metrics reloaded: Recommendations for image analysis validation. </w:t>
      </w:r>
      <w:r>
        <w:rPr>
          <w:rFonts w:ascii="Times New Roman" w:cs="Times New Roman" w:eastAsia="Times New Roman" w:hAnsi="Times New Roman"/>
          <w:i/>
          <w:iCs/>
          <w:color w:val="000000"/>
          <w:sz w:val="24"/>
          <w:szCs w:val="24"/>
        </w:rPr>
        <w:t xml:space="preserve">Nature Methods, 21</w:t>
      </w:r>
      <w:r>
        <w:rPr>
          <w:rFonts w:ascii="Times New Roman" w:cs="Times New Roman" w:eastAsia="Times New Roman" w:hAnsi="Times New Roman"/>
          <w:color w:val="000000"/>
          <w:sz w:val="24"/>
          <w:szCs w:val="24"/>
        </w:rPr>
        <w:t xml:space="preserve">(2), 195–212. https://doi.org/10.1038/s41592-023-02151-z</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Pérez-García, F., Sparks, R., &amp; Ourselin, S. (2021). TorchIO: A Python library for efficient loading, preprocessing, augmentation and patch-based sampling of medical images in deep learning. </w:t>
      </w:r>
      <w:r>
        <w:rPr>
          <w:rFonts w:ascii="Times New Roman" w:cs="Times New Roman" w:eastAsia="Times New Roman" w:hAnsi="Times New Roman"/>
          <w:i/>
          <w:iCs/>
          <w:color w:val="000000"/>
          <w:sz w:val="24"/>
          <w:szCs w:val="24"/>
        </w:rPr>
        <w:t xml:space="preserve">Computer Methods and Programs in Biomedicine, 208</w:t>
      </w:r>
      <w:r>
        <w:rPr>
          <w:rFonts w:ascii="Times New Roman" w:cs="Times New Roman" w:eastAsia="Times New Roman" w:hAnsi="Times New Roman"/>
          <w:color w:val="000000"/>
          <w:sz w:val="24"/>
          <w:szCs w:val="24"/>
        </w:rPr>
        <w:t xml:space="preserve">, 106236. https://doi.org/10.1016/j.cmpb.2021.106236</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Reinke, A., Tizabi, M. D., Baumgartner, M., et al. (2024). Understanding metric-related pitfalls in image analysis validation. </w:t>
      </w:r>
      <w:r>
        <w:rPr>
          <w:rFonts w:ascii="Times New Roman" w:cs="Times New Roman" w:eastAsia="Times New Roman" w:hAnsi="Times New Roman"/>
          <w:i/>
          <w:iCs/>
          <w:color w:val="000000"/>
          <w:sz w:val="24"/>
          <w:szCs w:val="24"/>
        </w:rPr>
        <w:t xml:space="preserve">Nature Methods, 21</w:t>
      </w:r>
      <w:r>
        <w:rPr>
          <w:rFonts w:ascii="Times New Roman" w:cs="Times New Roman" w:eastAsia="Times New Roman" w:hAnsi="Times New Roman"/>
          <w:color w:val="000000"/>
          <w:sz w:val="24"/>
          <w:szCs w:val="24"/>
        </w:rPr>
        <w:t xml:space="preserve">(2), 182–194. https://doi.org/10.1038/s41592-023-02150-0</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Schober, P., Boer, C., &amp; Schwarte, L. A. (2018). Correlation coefficients: Appropriate use and interpretation. </w:t>
      </w:r>
      <w:r>
        <w:rPr>
          <w:rFonts w:ascii="Times New Roman" w:cs="Times New Roman" w:eastAsia="Times New Roman" w:hAnsi="Times New Roman"/>
          <w:i/>
          <w:iCs/>
          <w:color w:val="000000"/>
          <w:sz w:val="24"/>
          <w:szCs w:val="24"/>
        </w:rPr>
        <w:t xml:space="preserve">Anesthesia &amp; Analgesia, 126</w:t>
      </w:r>
      <w:r>
        <w:rPr>
          <w:rFonts w:ascii="Times New Roman" w:cs="Times New Roman" w:eastAsia="Times New Roman" w:hAnsi="Times New Roman"/>
          <w:color w:val="000000"/>
          <w:sz w:val="24"/>
          <w:szCs w:val="24"/>
        </w:rPr>
        <w:t xml:space="preserve">(5), 1763–1768. https://doi.org/10.1213/ANE.0000000000002864</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Spearman, C. (1904). The proof and measurement of association between two things. </w:t>
      </w:r>
      <w:r>
        <w:rPr>
          <w:rFonts w:ascii="Times New Roman" w:cs="Times New Roman" w:eastAsia="Times New Roman" w:hAnsi="Times New Roman"/>
          <w:i/>
          <w:iCs/>
          <w:color w:val="000000"/>
          <w:sz w:val="24"/>
          <w:szCs w:val="24"/>
        </w:rPr>
        <w:t xml:space="preserve">The American Journal of Psychology, 15</w:t>
      </w:r>
      <w:r>
        <w:rPr>
          <w:rFonts w:ascii="Times New Roman" w:cs="Times New Roman" w:eastAsia="Times New Roman" w:hAnsi="Times New Roman"/>
          <w:color w:val="000000"/>
          <w:sz w:val="24"/>
          <w:szCs w:val="24"/>
        </w:rPr>
        <w:t xml:space="preserve">(1), 72–101. https://doi.org/10.2307/1412159</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Taha, A. A., &amp; Hanbury, A. (2015). Metrics for evaluating 3D medical image segmentation: Analysis, selection, and tool. </w:t>
      </w:r>
      <w:r>
        <w:rPr>
          <w:rFonts w:ascii="Times New Roman" w:cs="Times New Roman" w:eastAsia="Times New Roman" w:hAnsi="Times New Roman"/>
          <w:i/>
          <w:iCs/>
          <w:color w:val="000000"/>
          <w:sz w:val="24"/>
          <w:szCs w:val="24"/>
        </w:rPr>
        <w:t xml:space="preserve">BMC Medical Imaging, 15</w:t>
      </w:r>
      <w:r>
        <w:rPr>
          <w:rFonts w:ascii="Times New Roman" w:cs="Times New Roman" w:eastAsia="Times New Roman" w:hAnsi="Times New Roman"/>
          <w:color w:val="000000"/>
          <w:sz w:val="24"/>
          <w:szCs w:val="24"/>
        </w:rPr>
        <w:t xml:space="preserve">, 29. https://doi.org/10.1186/s12880-015-0068-x</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Taori, R., Dave, A., Shankar, V., Carlini, N., Recht, B., &amp; Schmidt, L. (2020). Measuring robustness to natural distribution shifts in image classification. </w:t>
      </w:r>
      <w:r>
        <w:rPr>
          <w:rFonts w:ascii="Times New Roman" w:cs="Times New Roman" w:eastAsia="Times New Roman" w:hAnsi="Times New Roman"/>
          <w:i/>
          <w:iCs/>
          <w:color w:val="000000"/>
          <w:sz w:val="24"/>
          <w:szCs w:val="24"/>
        </w:rPr>
        <w:t xml:space="preserve">Advances in Neural Information Processing Systems, 33</w:t>
      </w:r>
      <w:r>
        <w:rPr>
          <w:rFonts w:ascii="Times New Roman" w:cs="Times New Roman" w:eastAsia="Times New Roman" w:hAnsi="Times New Roman"/>
          <w:color w:val="000000"/>
          <w:sz w:val="24"/>
          <w:szCs w:val="24"/>
        </w:rPr>
        <w:t xml:space="preserve">, 18583–18599.</w:t>
      </w:r>
    </w:p>
    <w:p>
      <w:pPr>
        <w:spacing w:after="0" w:before="120" w:line="360" w:lineRule="auto"/>
        <w:ind w:left="720" w:hanging="720"/>
        <w:jc w:val="both"/>
      </w:pPr>
      <w:r>
        <w:rPr>
          <w:rFonts w:ascii="Times New Roman" w:cs="Times New Roman" w:eastAsia="Times New Roman" w:hAnsi="Times New Roman"/>
          <w:color w:val="000000"/>
          <w:sz w:val="24"/>
          <w:szCs w:val="24"/>
        </w:rPr>
        <w:t xml:space="preserve">Zenk, M., Zimmerer, D., Isensee, F., Traub, J., Norajitra, T., Jäger, P. F., &amp; Maier-Hein, K. (2025). Comparative benchmarking of failure detection methods in medical image segmentation: Unveiling the role of confidence aggregation. </w:t>
      </w:r>
      <w:r>
        <w:rPr>
          <w:rFonts w:ascii="Times New Roman" w:cs="Times New Roman" w:eastAsia="Times New Roman" w:hAnsi="Times New Roman"/>
          <w:i/>
          <w:iCs/>
          <w:color w:val="000000"/>
          <w:sz w:val="24"/>
          <w:szCs w:val="24"/>
        </w:rPr>
        <w:t xml:space="preserve">Medical Image Analysis, 101</w:t>
      </w:r>
      <w:r>
        <w:rPr>
          <w:rFonts w:ascii="Times New Roman" w:cs="Times New Roman" w:eastAsia="Times New Roman" w:hAnsi="Times New Roman"/>
          <w:color w:val="000000"/>
          <w:sz w:val="24"/>
          <w:szCs w:val="24"/>
        </w:rPr>
        <w:t xml:space="preserve">, 103392. https://doi.org/10.1016/j.media.2024.103392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120" w:line="360" w:lineRule="auto"/>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120" w:line="360" w:lineRule="auto"/>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120" w:line="360" w:lineRule="auto"/>
    </w:pPr>
    <w:rPr>
      <w:rFonts w:ascii="Times New Roman" w:cs="Times New Roman" w:eastAsia="Times New Roman" w:hAnsi="Times New Roman"/>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Metrics: Final Metric and Critical Metrics</dc:title>
  <dc:creator>Niko Yoga Pranata</dc:creator>
  <cp:lastModifiedBy>Un-named</cp:lastModifiedBy>
  <cp:revision>1</cp:revision>
  <dcterms:created xsi:type="dcterms:W3CDTF">2026-10-11T12:59:25.042Z</dcterms:created>
  <dcterms:modified xsi:type="dcterms:W3CDTF">2026-10-11T12:59:25.043Z</dcterms:modified>
</cp:coreProperties>
</file>

<file path=docProps/custom.xml><?xml version="1.0" encoding="utf-8"?>
<Properties xmlns="http://schemas.openxmlformats.org/officeDocument/2006/custom-properties" xmlns:vt="http://schemas.openxmlformats.org/officeDocument/2006/docPropsVTypes"/>
</file>