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2831" w14:textId="0DE5C652" w:rsidR="00B460B4" w:rsidRDefault="00B460B4" w:rsidP="00B460B4">
      <w:r>
        <w:t>The integration of artificial intelligence and learning management systems is reshaping the future of higher education, offering transformative opportunities while also presenting significant challenges. This review, based on an analysis of 60 studies published between 2014 and 2023, explores how AI-enhanced LMS platforms are influencing teaching, learning, and institutional operations. The study follows PRISMA 2020 guidelines and uses bibliometric and thematic analyses to map the evolving landscape of AI in higher education. At its core, this research investigat</w:t>
      </w:r>
      <w:r w:rsidR="00944441">
        <w:rPr>
          <w:lang w:val="ru-RU"/>
        </w:rPr>
        <w:t>я</w:t>
      </w:r>
      <w:r>
        <w:t>es how AI–LMS integration can improve educational quality, support student success, and align with broader sustainability goals, including equitable access, reduced resource consumption, and responsible technology use.</w:t>
      </w:r>
    </w:p>
    <w:p w14:paraId="7F1CA209" w14:textId="77777777" w:rsidR="00B460B4" w:rsidRDefault="00B460B4" w:rsidP="00B460B4"/>
    <w:p w14:paraId="088122FE" w14:textId="77777777" w:rsidR="00B460B4" w:rsidRDefault="00B460B4" w:rsidP="00B460B4">
      <w:r>
        <w:t>The central problem this review addresses is the growing gap between rapid technological advancement and the practical, ethical, and institutional readiness of higher education systems. While AI offers powerful tools for personalization and efficiency, many institutions struggle with data privacy, algorithmic bias, faculty training, and unequal access to technology. The main hypothesis is that when implemented thoughtfully, AI–LMS integration can significantly enhance learning outcomes and institutional performance, but only if ethical and equity considerations are prioritized.</w:t>
      </w:r>
    </w:p>
    <w:p w14:paraId="5D281727" w14:textId="77777777" w:rsidR="00B460B4" w:rsidRDefault="00B460B4" w:rsidP="00B460B4"/>
    <w:p w14:paraId="660D2BCD" w14:textId="77777777" w:rsidR="00B460B4" w:rsidRDefault="00B460B4" w:rsidP="00B460B4">
      <w:r>
        <w:t>Methodologically, the study conducts a systematic literature review using the Scopus database, applying strict inclusion and exclusion criteria to ensure relevance and rigor. The analysis includes bibliometric mapping using RStudio’s bibliometrix package, co-word network analysis, and thematic mapping to identify key trends, research clusters, and gaps. This multi-layered approach allows the author to move beyond simple summarization and instead uncover the structural dynamics of the field, such as the dominance of technical research in computer science venues and the emerging focus on ethical and pedagogical dimensions.</w:t>
      </w:r>
    </w:p>
    <w:p w14:paraId="2256423F" w14:textId="77777777" w:rsidR="00B460B4" w:rsidRDefault="00B460B4" w:rsidP="00B460B4"/>
    <w:p w14:paraId="62383E81" w14:textId="77777777" w:rsidR="00B460B4" w:rsidRDefault="00B460B4" w:rsidP="00B460B4">
      <w:r>
        <w:t xml:space="preserve">The findings reveal that AI–LMS integration delivers substantial benefits. Key applications include AI-powered chatbots that provide 24/7 student support, adaptive learning systems that </w:t>
      </w:r>
      <w:r w:rsidRPr="00944441">
        <w:rPr>
          <w:highlight w:val="yellow"/>
        </w:rPr>
        <w:t>tailor</w:t>
      </w:r>
      <w:r>
        <w:t xml:space="preserve"> content to individual progress, and learning analytics that help identify at-risk students early. Studies show improved student engagement, personalized learning pathways, and better academic performance across diverse institutions. For example, research from Malaysia and Riga Technical University demonstrates that AI-driven adaptations based on learning styles significantly boost learning effectiveness. </w:t>
      </w:r>
      <w:r>
        <w:lastRenderedPageBreak/>
        <w:t>Additionally, gamified AI tools and virtual reality integrations are proving effective in developing soft skills like critical thinking and citizenship competencies.</w:t>
      </w:r>
    </w:p>
    <w:p w14:paraId="22C2CFFA" w14:textId="77777777" w:rsidR="00B460B4" w:rsidRDefault="00B460B4" w:rsidP="00B460B4"/>
    <w:p w14:paraId="26B17FFD" w14:textId="77777777" w:rsidR="00B460B4" w:rsidRDefault="00B460B4" w:rsidP="00B460B4">
      <w:r>
        <w:t>However, the review also highlights persistent challenges. Data privacy remains a major concern, especially as institutions collect vast amounts of student behavioral data. Algorithmic bias can perpetuate inequalities if AI models are trained on non-representative datasets. The digital divide limits access for underserved populations, and many faculty members lack the training to use AI tools effectively. Moreover, while AI promises efficiency, its environmental footprint—particularly from energy-intensive data processing—raises questions about long-term sustainability.</w:t>
      </w:r>
    </w:p>
    <w:p w14:paraId="0287E268" w14:textId="77777777" w:rsidR="00B460B4" w:rsidRDefault="00B460B4" w:rsidP="00B460B4"/>
    <w:p w14:paraId="32056CED" w14:textId="77777777" w:rsidR="00B460B4" w:rsidRPr="00206EA6" w:rsidRDefault="00B460B4" w:rsidP="00B460B4">
      <w:pPr>
        <w:rPr>
          <w:lang w:val="en-US"/>
        </w:rPr>
      </w:pPr>
      <w:r>
        <w:t>In conclusion, the integration of AI and LMS holds great promise for transforming higher education into a more personalized, efficient, and inclusive system. The evidence supports its potential to enhance teaching quality, improve student outcomes, and support sustainable development goals. However, realizing this potential requires strategic investment in ethical frameworks, faculty development, and equitable access. The author calls for future research to focus on longitudinal studies of AI’s impact, the development of global ethical standards, and the scalability of AI solutions across diverse educational contexts.</w:t>
      </w:r>
    </w:p>
    <w:p w14:paraId="15307BF8" w14:textId="77777777" w:rsidR="00B460B4" w:rsidRDefault="00B460B4" w:rsidP="00B460B4"/>
    <w:p w14:paraId="36AF75CE" w14:textId="0010A899" w:rsidR="00AE5480" w:rsidRDefault="00B460B4" w:rsidP="00B460B4">
      <w:r>
        <w:t>Critically, this review is comprehensive and well-structured, offering valuable insights for policymakers and educators. Its strengths lie in its rigorous methodology and global scope, drawing on research from both developed and emerging economies. However, it is limited by its reliance on published literature, which may lag behind real-world innovations, and it does not provide detailed technical guidance for implementation. Overall, the study makes a significant contribution by framing AI–LMS integration not just as a technological shift, but as a holistic transformation that must balance innovation with responsibility, equity, and sustainability.</w:t>
      </w:r>
    </w:p>
    <w:sectPr w:rsidR="00AE54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9B"/>
    <w:rsid w:val="0013531B"/>
    <w:rsid w:val="001C66D3"/>
    <w:rsid w:val="00206EA6"/>
    <w:rsid w:val="003E5AEC"/>
    <w:rsid w:val="004243F1"/>
    <w:rsid w:val="0047399B"/>
    <w:rsid w:val="00944441"/>
    <w:rsid w:val="00AE5480"/>
    <w:rsid w:val="00B460B4"/>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16C4554F"/>
  <w15:chartTrackingRefBased/>
  <w15:docId w15:val="{190FB209-1F65-544A-910D-133B26D0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9B"/>
    <w:rPr>
      <w:rFonts w:eastAsiaTheme="majorEastAsia" w:cstheme="majorBidi"/>
      <w:color w:val="272727" w:themeColor="text1" w:themeTint="D8"/>
    </w:rPr>
  </w:style>
  <w:style w:type="paragraph" w:styleId="Title">
    <w:name w:val="Title"/>
    <w:basedOn w:val="Normal"/>
    <w:next w:val="Normal"/>
    <w:link w:val="TitleChar"/>
    <w:uiPriority w:val="10"/>
    <w:qFormat/>
    <w:rsid w:val="00473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9B"/>
    <w:pPr>
      <w:spacing w:before="160"/>
      <w:jc w:val="center"/>
    </w:pPr>
    <w:rPr>
      <w:i/>
      <w:iCs/>
      <w:color w:val="404040" w:themeColor="text1" w:themeTint="BF"/>
    </w:rPr>
  </w:style>
  <w:style w:type="character" w:customStyle="1" w:styleId="QuoteChar">
    <w:name w:val="Quote Char"/>
    <w:basedOn w:val="DefaultParagraphFont"/>
    <w:link w:val="Quote"/>
    <w:uiPriority w:val="29"/>
    <w:rsid w:val="0047399B"/>
    <w:rPr>
      <w:i/>
      <w:iCs/>
      <w:color w:val="404040" w:themeColor="text1" w:themeTint="BF"/>
    </w:rPr>
  </w:style>
  <w:style w:type="paragraph" w:styleId="ListParagraph">
    <w:name w:val="List Paragraph"/>
    <w:basedOn w:val="Normal"/>
    <w:uiPriority w:val="34"/>
    <w:qFormat/>
    <w:rsid w:val="0047399B"/>
    <w:pPr>
      <w:ind w:left="720"/>
      <w:contextualSpacing/>
    </w:pPr>
  </w:style>
  <w:style w:type="character" w:styleId="IntenseEmphasis">
    <w:name w:val="Intense Emphasis"/>
    <w:basedOn w:val="DefaultParagraphFont"/>
    <w:uiPriority w:val="21"/>
    <w:qFormat/>
    <w:rsid w:val="0047399B"/>
    <w:rPr>
      <w:i/>
      <w:iCs/>
      <w:color w:val="0F4761" w:themeColor="accent1" w:themeShade="BF"/>
    </w:rPr>
  </w:style>
  <w:style w:type="paragraph" w:styleId="IntenseQuote">
    <w:name w:val="Intense Quote"/>
    <w:basedOn w:val="Normal"/>
    <w:next w:val="Normal"/>
    <w:link w:val="IntenseQuoteChar"/>
    <w:uiPriority w:val="30"/>
    <w:qFormat/>
    <w:rsid w:val="00473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99B"/>
    <w:rPr>
      <w:i/>
      <w:iCs/>
      <w:color w:val="0F4761" w:themeColor="accent1" w:themeShade="BF"/>
    </w:rPr>
  </w:style>
  <w:style w:type="character" w:styleId="IntenseReference">
    <w:name w:val="Intense Reference"/>
    <w:basedOn w:val="DefaultParagraphFont"/>
    <w:uiPriority w:val="32"/>
    <w:qFormat/>
    <w:rsid w:val="00473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Romanov</cp:lastModifiedBy>
  <cp:revision>3</cp:revision>
  <dcterms:created xsi:type="dcterms:W3CDTF">2025-11-04T13:33:00Z</dcterms:created>
  <dcterms:modified xsi:type="dcterms:W3CDTF">2025-11-08T09:47:00Z</dcterms:modified>
</cp:coreProperties>
</file>