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AI Chat Assist - Technical Documentation</w:t>
      </w:r>
    </w:p>
    <w:p>
      <w:r>
        <w:rPr>
          <w:b/>
        </w:rPr>
        <w:t>This document provides a technical overview of the AI Chat Assist application developed using Next.js, TypeScript, and AI model integrations including Groq and Gemini APIs.</w:t>
      </w:r>
    </w:p>
    <w:p>
      <w:pPr>
        <w:pStyle w:val="Heading2"/>
      </w:pPr>
      <w:r>
        <w:t>1. Project Overview</w:t>
      </w:r>
    </w:p>
    <w:p>
      <w:r>
        <w:t>AI Chat Assist is a modern AI-powered conversational web application that enables users to interact with AI models in real time through a clean and responsive user interface. The application was designed with a focus on scalability, maintainability, reusable architecture, and production-style frontend engineering practices.</w:t>
      </w:r>
    </w:p>
    <w:p>
      <w:r>
        <w:t>The project integrates multiple AI providers and includes intelligent fallback handling to ensure uninterrupted AI responses during API quota limitations.</w:t>
      </w:r>
    </w:p>
    <w:p>
      <w:pPr>
        <w:pStyle w:val="Heading2"/>
      </w:pPr>
      <w:r>
        <w:t>2. Key Features</w:t>
      </w:r>
    </w:p>
    <w:p>
      <w:pPr>
        <w:pStyle w:val="ListBullet"/>
      </w:pPr>
      <w:r>
        <w:t>Real-time AI conversation interface</w:t>
      </w:r>
    </w:p>
    <w:p>
      <w:pPr>
        <w:pStyle w:val="ListBullet"/>
      </w:pPr>
      <w:r>
        <w:t>Groq and Gemini AI provider integration</w:t>
      </w:r>
    </w:p>
    <w:p>
      <w:pPr>
        <w:pStyle w:val="ListBullet"/>
      </w:pPr>
      <w:r>
        <w:t>Automatic provider fallback mechanism</w:t>
      </w:r>
    </w:p>
    <w:p>
      <w:pPr>
        <w:pStyle w:val="ListBullet"/>
      </w:pPr>
      <w:r>
        <w:t>Persistent chat history using Local Storage</w:t>
      </w:r>
    </w:p>
    <w:p>
      <w:pPr>
        <w:pStyle w:val="ListBullet"/>
      </w:pPr>
      <w:r>
        <w:t>Markdown rendering support</w:t>
      </w:r>
    </w:p>
    <w:p>
      <w:pPr>
        <w:pStyle w:val="ListBullet"/>
      </w:pPr>
      <w:r>
        <w:t>Code block rendering and copy support</w:t>
      </w:r>
    </w:p>
    <w:p>
      <w:pPr>
        <w:pStyle w:val="ListBullet"/>
      </w:pPr>
      <w:r>
        <w:t>Reusable component-based architecture</w:t>
      </w:r>
    </w:p>
    <w:p>
      <w:pPr>
        <w:pStyle w:val="ListBullet"/>
      </w:pPr>
      <w:r>
        <w:t>Responsive layout for desktop and mobile devices</w:t>
      </w:r>
    </w:p>
    <w:p>
      <w:pPr>
        <w:pStyle w:val="ListBullet"/>
      </w:pPr>
      <w:r>
        <w:t>Loading states and API error handling</w:t>
      </w:r>
    </w:p>
    <w:p>
      <w:pPr>
        <w:pStyle w:val="ListBullet"/>
      </w:pPr>
      <w:r>
        <w:t>Session management and chat clearing functionality</w:t>
      </w:r>
    </w:p>
    <w:p>
      <w:pPr>
        <w:pStyle w:val="ListBullet"/>
      </w:pPr>
      <w:r>
        <w:t>Unit testing implementation</w:t>
      </w:r>
    </w:p>
    <w:p>
      <w:pPr>
        <w:pStyle w:val="Heading2"/>
      </w:pPr>
      <w:r>
        <w:t>3. Technology Stack</w:t>
      </w:r>
    </w:p>
    <w:tbl>
      <w:tblPr>
        <w:tblStyle w:val="TableGrid"/>
        <w:tblW w:type="auto" w:w="0"/>
        <w:tblLook w:firstColumn="1" w:firstRow="1" w:lastColumn="0" w:lastRow="0" w:noHBand="0" w:noVBand="1" w:val="04A0"/>
      </w:tblPr>
      <w:tblGrid>
        <w:gridCol w:w="4320"/>
        <w:gridCol w:w="4320"/>
      </w:tblGrid>
      <w:tr>
        <w:tc>
          <w:tcPr>
            <w:tcW w:type="dxa" w:w="4320"/>
          </w:tcPr>
          <w:p>
            <w:r>
              <w:t>Technology</w:t>
            </w:r>
          </w:p>
        </w:tc>
        <w:tc>
          <w:tcPr>
            <w:tcW w:type="dxa" w:w="4320"/>
          </w:tcPr>
          <w:p>
            <w:r>
              <w:t>Purpose</w:t>
            </w:r>
          </w:p>
        </w:tc>
      </w:tr>
      <w:tr>
        <w:tc>
          <w:tcPr>
            <w:tcW w:type="dxa" w:w="4320"/>
          </w:tcPr>
          <w:p>
            <w:r>
              <w:t>Next.js</w:t>
            </w:r>
          </w:p>
        </w:tc>
        <w:tc>
          <w:tcPr>
            <w:tcW w:type="dxa" w:w="4320"/>
          </w:tcPr>
          <w:p>
            <w:r>
              <w:t>Frontend framework</w:t>
            </w:r>
          </w:p>
        </w:tc>
      </w:tr>
      <w:tr>
        <w:tc>
          <w:tcPr>
            <w:tcW w:type="dxa" w:w="4320"/>
          </w:tcPr>
          <w:p>
            <w:r>
              <w:t>React</w:t>
            </w:r>
          </w:p>
        </w:tc>
        <w:tc>
          <w:tcPr>
            <w:tcW w:type="dxa" w:w="4320"/>
          </w:tcPr>
          <w:p>
            <w:r>
              <w:t>UI library</w:t>
            </w:r>
          </w:p>
        </w:tc>
      </w:tr>
      <w:tr>
        <w:tc>
          <w:tcPr>
            <w:tcW w:type="dxa" w:w="4320"/>
          </w:tcPr>
          <w:p>
            <w:r>
              <w:t>TypeScript</w:t>
            </w:r>
          </w:p>
        </w:tc>
        <w:tc>
          <w:tcPr>
            <w:tcW w:type="dxa" w:w="4320"/>
          </w:tcPr>
          <w:p>
            <w:r>
              <w:t>Static type safety</w:t>
            </w:r>
          </w:p>
        </w:tc>
      </w:tr>
      <w:tr>
        <w:tc>
          <w:tcPr>
            <w:tcW w:type="dxa" w:w="4320"/>
          </w:tcPr>
          <w:p>
            <w:r>
              <w:t>Tailwind CSS</w:t>
            </w:r>
          </w:p>
        </w:tc>
        <w:tc>
          <w:tcPr>
            <w:tcW w:type="dxa" w:w="4320"/>
          </w:tcPr>
          <w:p>
            <w:r>
              <w:t>Application styling</w:t>
            </w:r>
          </w:p>
        </w:tc>
      </w:tr>
      <w:tr>
        <w:tc>
          <w:tcPr>
            <w:tcW w:type="dxa" w:w="4320"/>
          </w:tcPr>
          <w:p>
            <w:r>
              <w:t>Groq API</w:t>
            </w:r>
          </w:p>
        </w:tc>
        <w:tc>
          <w:tcPr>
            <w:tcW w:type="dxa" w:w="4320"/>
          </w:tcPr>
          <w:p>
            <w:r>
              <w:t>AI model integration</w:t>
            </w:r>
          </w:p>
        </w:tc>
      </w:tr>
      <w:tr>
        <w:tc>
          <w:tcPr>
            <w:tcW w:type="dxa" w:w="4320"/>
          </w:tcPr>
          <w:p>
            <w:r>
              <w:t>Gemini API</w:t>
            </w:r>
          </w:p>
        </w:tc>
        <w:tc>
          <w:tcPr>
            <w:tcW w:type="dxa" w:w="4320"/>
          </w:tcPr>
          <w:p>
            <w:r>
              <w:t>AI model integration</w:t>
            </w:r>
          </w:p>
        </w:tc>
      </w:tr>
      <w:tr>
        <w:tc>
          <w:tcPr>
            <w:tcW w:type="dxa" w:w="4320"/>
          </w:tcPr>
          <w:p>
            <w:r>
              <w:t>React Markdown</w:t>
            </w:r>
          </w:p>
        </w:tc>
        <w:tc>
          <w:tcPr>
            <w:tcW w:type="dxa" w:w="4320"/>
          </w:tcPr>
          <w:p>
            <w:r>
              <w:t>Markdown rendering</w:t>
            </w:r>
          </w:p>
        </w:tc>
      </w:tr>
      <w:tr>
        <w:tc>
          <w:tcPr>
            <w:tcW w:type="dxa" w:w="4320"/>
          </w:tcPr>
          <w:p>
            <w:r>
              <w:t>Jest / Testing Library</w:t>
            </w:r>
          </w:p>
        </w:tc>
        <w:tc>
          <w:tcPr>
            <w:tcW w:type="dxa" w:w="4320"/>
          </w:tcPr>
          <w:p>
            <w:r>
              <w:t>Unit testing</w:t>
            </w:r>
          </w:p>
        </w:tc>
      </w:tr>
    </w:tbl>
    <w:p>
      <w:pPr>
        <w:pStyle w:val="Heading2"/>
      </w:pPr>
      <w:r>
        <w:t>4. Application Architecture</w:t>
      </w:r>
    </w:p>
    <w:p>
      <w:r>
        <w:t>The application follows a modular component-based architecture using the Next.js App Router. Frontend UI components are separated into reusable modules, while backend API communication is handled securely through server-side API routes.</w:t>
      </w:r>
    </w:p>
    <w:p>
      <w:pPr>
        <w:pStyle w:val="ListBullet"/>
      </w:pPr>
      <w:r>
        <w:t>Reusable UI components</w:t>
      </w:r>
    </w:p>
    <w:p>
      <w:pPr>
        <w:pStyle w:val="ListBullet"/>
      </w:pPr>
      <w:r>
        <w:t>Centralized API handling</w:t>
      </w:r>
    </w:p>
    <w:p>
      <w:pPr>
        <w:pStyle w:val="ListBullet"/>
      </w:pPr>
      <w:r>
        <w:t>Separation of frontend and backend responsibilities</w:t>
      </w:r>
    </w:p>
    <w:p>
      <w:pPr>
        <w:pStyle w:val="ListBullet"/>
      </w:pPr>
      <w:r>
        <w:t>Type-safe development using TypeScript</w:t>
      </w:r>
    </w:p>
    <w:p>
      <w:pPr>
        <w:pStyle w:val="ListBullet"/>
      </w:pPr>
      <w:r>
        <w:t>Persistent state management</w:t>
      </w:r>
    </w:p>
    <w:p>
      <w:pPr>
        <w:pStyle w:val="ListBullet"/>
      </w:pPr>
      <w:r>
        <w:t>Responsive and scalable UI structure</w:t>
      </w:r>
    </w:p>
    <w:p>
      <w:pPr>
        <w:pStyle w:val="Heading2"/>
      </w:pPr>
      <w:r>
        <w:t>5. Project Structure</w:t>
      </w:r>
    </w:p>
    <w:p>
      <w:r>
        <w:br/>
        <w:t>AI-Chat-Assist/</w:t>
        <w:br/>
        <w:t>│</w:t>
        <w:br/>
        <w:t>├── src/</w:t>
        <w:br/>
        <w:t>│   ├── app/</w:t>
        <w:br/>
        <w:t>│   │   ├── api/chat/</w:t>
        <w:br/>
        <w:t>│   │   ├── globals.css</w:t>
        <w:br/>
        <w:t>│   │   └── page.tsx</w:t>
        <w:br/>
        <w:t>│   │</w:t>
        <w:br/>
        <w:t>│   ├── components/</w:t>
        <w:br/>
        <w:t>│   ├── hooks/</w:t>
        <w:br/>
        <w:t>│   ├── types/</w:t>
        <w:br/>
        <w:t>│   └── utils/</w:t>
        <w:br/>
        <w:t>│</w:t>
        <w:br/>
        <w:t>├── public/</w:t>
        <w:br/>
        <w:t>├── tests/</w:t>
        <w:br/>
        <w:t>├── package.json</w:t>
        <w:br/>
        <w:t>└── README.md</w:t>
        <w:br/>
      </w:r>
    </w:p>
    <w:p>
      <w:pPr>
        <w:pStyle w:val="Heading2"/>
      </w:pPr>
      <w:r>
        <w:t>6. Environment Configuration</w:t>
      </w:r>
    </w:p>
    <w:p>
      <w:r>
        <w:br/>
        <w:t>AI_PROVIDER=groq or gemini</w:t>
        <w:br/>
        <w:br/>
        <w:t>GROQ_API_KEY=your_groq_api_key</w:t>
        <w:br/>
        <w:t>GROQ_MODEL=groq_model_to_be_used</w:t>
        <w:br/>
        <w:br/>
        <w:t>GEMINI_API_KEY=your_gemini_api_key</w:t>
        <w:br/>
        <w:t>GEMINI_MODEL=gemini_model_to_be_used</w:t>
        <w:br/>
      </w:r>
    </w:p>
    <w:p>
      <w:r>
        <w:t>The application supports both Groq and Gemini AI providers. Gemini is configured as the primary provider, while Groq is used as a fallback provider when Gemini API rate limits or quota limits are reached.</w:t>
      </w:r>
    </w:p>
    <w:p>
      <w:r>
        <w:t>Environment variables are securely managed using server-side configuration to prevent exposure of API credentials in frontend code.</w:t>
      </w:r>
    </w:p>
    <w:p>
      <w:pPr>
        <w:pStyle w:val="Heading2"/>
      </w:pPr>
      <w:r>
        <w:t>7. Coding Standards and Best Practices</w:t>
      </w:r>
    </w:p>
    <w:p>
      <w:pPr>
        <w:pStyle w:val="ListBullet"/>
      </w:pPr>
      <w:r>
        <w:t>Component-based architecture</w:t>
      </w:r>
    </w:p>
    <w:p>
      <w:pPr>
        <w:pStyle w:val="ListBullet"/>
      </w:pPr>
      <w:r>
        <w:t>Reusable and maintainable code structure</w:t>
      </w:r>
    </w:p>
    <w:p>
      <w:pPr>
        <w:pStyle w:val="ListBullet"/>
      </w:pPr>
      <w:r>
        <w:t>Type-safe development using TypeScript</w:t>
      </w:r>
    </w:p>
    <w:p>
      <w:pPr>
        <w:pStyle w:val="ListBullet"/>
      </w:pPr>
      <w:r>
        <w:t>Semantic HTML implementation</w:t>
      </w:r>
    </w:p>
    <w:p>
      <w:pPr>
        <w:pStyle w:val="ListBullet"/>
      </w:pPr>
      <w:r>
        <w:t>Responsive design principles</w:t>
      </w:r>
    </w:p>
    <w:p>
      <w:pPr>
        <w:pStyle w:val="ListBullet"/>
      </w:pPr>
      <w:r>
        <w:t>Secure environment variable handling</w:t>
      </w:r>
    </w:p>
    <w:p>
      <w:pPr>
        <w:pStyle w:val="ListBullet"/>
      </w:pPr>
      <w:r>
        <w:t>Consistent naming conventions</w:t>
      </w:r>
    </w:p>
    <w:p>
      <w:pPr>
        <w:pStyle w:val="ListBullet"/>
      </w:pPr>
      <w:r>
        <w:t>Proper loading and error state management</w:t>
      </w:r>
    </w:p>
    <w:p>
      <w:pPr>
        <w:pStyle w:val="ListBullet"/>
      </w:pPr>
      <w:r>
        <w:t>Code modularization and separation of concerns</w:t>
      </w:r>
    </w:p>
    <w:p>
      <w:pPr>
        <w:pStyle w:val="ListBullet"/>
      </w:pPr>
      <w:r>
        <w:t>Unit testing support</w:t>
      </w:r>
    </w:p>
    <w:p>
      <w:pPr>
        <w:pStyle w:val="Heading2"/>
      </w:pPr>
      <w:r>
        <w:t>8. Testing and Validation</w:t>
      </w:r>
    </w:p>
    <w:p>
      <w:r>
        <w:t>The application includes unit testing support to validate component behavior and ensure application stability. The project also supports linting and production build validation.</w:t>
      </w:r>
    </w:p>
    <w:p>
      <w:pPr>
        <w:pStyle w:val="ListBullet"/>
      </w:pPr>
      <w:r>
        <w:t>npm run test</w:t>
      </w:r>
    </w:p>
    <w:p>
      <w:pPr>
        <w:pStyle w:val="ListBullet"/>
      </w:pPr>
      <w:r>
        <w:t>npm run lint</w:t>
      </w:r>
    </w:p>
    <w:p>
      <w:pPr>
        <w:pStyle w:val="ListBullet"/>
      </w:pPr>
      <w:r>
        <w:t>npm run build</w:t>
      </w:r>
    </w:p>
    <w:p>
      <w:pPr>
        <w:pStyle w:val="Heading2"/>
      </w:pPr>
      <w:r>
        <w:t>9. Future Enhancements</w:t>
      </w:r>
    </w:p>
    <w:p>
      <w:pPr>
        <w:pStyle w:val="ListBullet"/>
      </w:pPr>
      <w:r>
        <w:t>Authentication and user account support</w:t>
      </w:r>
    </w:p>
    <w:p>
      <w:pPr>
        <w:pStyle w:val="ListBullet"/>
      </w:pPr>
      <w:r>
        <w:t>Conversation export functionality</w:t>
      </w:r>
    </w:p>
    <w:p>
      <w:pPr>
        <w:pStyle w:val="ListBullet"/>
      </w:pPr>
      <w:r>
        <w:t>Advanced accessibility improvements</w:t>
      </w:r>
    </w:p>
    <w:p>
      <w:pPr>
        <w:pStyle w:val="ListBullet"/>
      </w:pPr>
      <w:r>
        <w:t>Cloud database integration</w:t>
      </w:r>
    </w:p>
    <w:p>
      <w:pPr>
        <w:pStyle w:val="ListBullet"/>
      </w:pPr>
      <w:r>
        <w:t>Multi-model AI selection interface</w:t>
      </w:r>
    </w:p>
    <w:p>
      <w:pPr>
        <w:pStyle w:val="ListBullet"/>
      </w:pPr>
      <w:r>
        <w:t>Enhanced streaming optimization</w:t>
      </w:r>
    </w:p>
    <w:p>
      <w:pPr>
        <w:pStyle w:val="Heading2"/>
      </w:pPr>
      <w:r>
        <w:t>10. Conclusion</w:t>
      </w:r>
    </w:p>
    <w:p>
      <w:r>
        <w:t>AI Chat Assist demonstrates modern frontend engineering practices through the implementation of scalable architecture, reusable components, AI integrations, responsive design, and robust state management. The project emphasizes maintainability, user experience, and production-oriented development standards.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