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30A" w:rsidRPr="00B8430A" w:rsidRDefault="00B8430A" w:rsidP="00195E62">
      <w:pPr>
        <w:shd w:val="clear" w:color="auto" w:fill="FFFFFF"/>
        <w:spacing w:before="100" w:beforeAutospacing="1" w:after="100" w:afterAutospacing="1" w:line="240" w:lineRule="auto"/>
        <w:jc w:val="both"/>
        <w:outlineLvl w:val="1"/>
        <w:rPr>
          <w:rFonts w:ascii="Helvetica" w:eastAsia="Times New Roman" w:hAnsi="Helvetica" w:cs="Helvetica"/>
          <w:color w:val="000000"/>
          <w:spacing w:val="2"/>
          <w:sz w:val="36"/>
          <w:szCs w:val="36"/>
        </w:rPr>
      </w:pPr>
      <w:r w:rsidRPr="00B8430A">
        <w:rPr>
          <w:rFonts w:ascii="Helvetica" w:eastAsia="Times New Roman" w:hAnsi="Helvetica" w:cs="Helvetica"/>
          <w:color w:val="000000"/>
          <w:spacing w:val="2"/>
          <w:sz w:val="36"/>
          <w:szCs w:val="36"/>
        </w:rPr>
        <w:t>Self-Referencing Relationships: A Special Case</w:t>
      </w:r>
    </w:p>
    <w:p w:rsidR="00B8430A" w:rsidRPr="00B8430A" w:rsidRDefault="00B8430A" w:rsidP="00195E62">
      <w:pPr>
        <w:shd w:val="clear" w:color="auto" w:fill="FFFFFF"/>
        <w:spacing w:before="100" w:beforeAutospacing="1" w:after="100" w:afterAutospacing="1" w:line="240" w:lineRule="auto"/>
        <w:jc w:val="both"/>
        <w:rPr>
          <w:rFonts w:ascii="Helvetica" w:eastAsia="Times New Roman" w:hAnsi="Helvetica" w:cs="Helvetica"/>
          <w:color w:val="000000"/>
          <w:spacing w:val="2"/>
          <w:sz w:val="30"/>
          <w:szCs w:val="30"/>
        </w:rPr>
      </w:pPr>
      <w:r w:rsidRPr="00B8430A">
        <w:rPr>
          <w:rFonts w:ascii="Helvetica" w:eastAsia="Times New Roman" w:hAnsi="Helvetica" w:cs="Helvetica"/>
          <w:color w:val="000000"/>
          <w:spacing w:val="2"/>
          <w:sz w:val="30"/>
          <w:szCs w:val="30"/>
        </w:rPr>
        <w:t>Self-referencing relationships occur when there is only one table involved. One common example is an Employees table that contains information about the supervisor of each employee. Each supervisor is also an employee and has a supervisor. In this case, there is a one-to-many self-referencing relationship, as each employee has one supervisor, but each supervisor may have more than one employee.</w:t>
      </w:r>
    </w:p>
    <w:p w:rsidR="007C6450" w:rsidRDefault="007C6450" w:rsidP="00195E62">
      <w:pPr>
        <w:jc w:val="both"/>
      </w:pPr>
    </w:p>
    <w:p w:rsidR="00195E62" w:rsidRDefault="00195E62" w:rsidP="00195E62">
      <w:pPr>
        <w:jc w:val="both"/>
      </w:pPr>
    </w:p>
    <w:p w:rsidR="00195E62" w:rsidRDefault="00195E62" w:rsidP="00195E62">
      <w:pPr>
        <w:pStyle w:val="Heading4"/>
        <w:shd w:val="clear" w:color="auto" w:fill="FFFFFF"/>
        <w:spacing w:before="150" w:after="150"/>
        <w:jc w:val="both"/>
        <w:rPr>
          <w:rFonts w:ascii="Helvetica" w:hAnsi="Helvetica" w:cs="Helvetica"/>
          <w:color w:val="333333"/>
          <w:sz w:val="27"/>
          <w:szCs w:val="27"/>
        </w:rPr>
      </w:pPr>
      <w:r>
        <w:rPr>
          <w:rFonts w:ascii="Helvetica" w:hAnsi="Helvetica" w:cs="Helvetica"/>
          <w:b/>
          <w:bCs/>
          <w:color w:val="333333"/>
          <w:sz w:val="27"/>
          <w:szCs w:val="27"/>
        </w:rPr>
        <w:t>Self-Referencing Relationships</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This particular type of relationship </w:t>
      </w:r>
      <w:r>
        <w:rPr>
          <w:rStyle w:val="docemphasis"/>
          <w:rFonts w:ascii="Helvetica" w:hAnsi="Helvetica" w:cs="Helvetica"/>
          <w:color w:val="333333"/>
          <w:sz w:val="21"/>
          <w:szCs w:val="21"/>
        </w:rPr>
        <w:t>does not</w:t>
      </w:r>
      <w:r>
        <w:rPr>
          <w:rFonts w:ascii="Helvetica" w:hAnsi="Helvetica" w:cs="Helvetica"/>
          <w:color w:val="333333"/>
          <w:sz w:val="21"/>
          <w:szCs w:val="21"/>
        </w:rPr>
        <w:t> exist between a pair of tables, which is why it isn't mentioned at the beginning of this section. It is instead a relationship that exists </w:t>
      </w:r>
      <w:r>
        <w:rPr>
          <w:rStyle w:val="docemphasis"/>
          <w:rFonts w:ascii="Helvetica" w:hAnsi="Helvetica" w:cs="Helvetica"/>
          <w:color w:val="333333"/>
          <w:sz w:val="21"/>
          <w:szCs w:val="21"/>
        </w:rPr>
        <w:t>between the records within a table</w:t>
      </w:r>
      <w:r>
        <w:rPr>
          <w:rFonts w:ascii="Helvetica" w:hAnsi="Helvetica" w:cs="Helvetica"/>
          <w:color w:val="333333"/>
          <w:sz w:val="21"/>
          <w:szCs w:val="21"/>
        </w:rPr>
        <w:t>. Ironically, you'll still regard this throughout the design process as a table relationship.</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table bears a </w:t>
      </w:r>
      <w:r>
        <w:rPr>
          <w:rStyle w:val="docemphasis"/>
          <w:rFonts w:ascii="Helvetica" w:hAnsi="Helvetica" w:cs="Helvetica"/>
          <w:color w:val="333333"/>
          <w:sz w:val="21"/>
          <w:szCs w:val="21"/>
        </w:rPr>
        <w:t>self-referencing</w:t>
      </w:r>
      <w:r>
        <w:rPr>
          <w:rFonts w:ascii="Helvetica" w:hAnsi="Helvetica" w:cs="Helvetica"/>
          <w:color w:val="333333"/>
          <w:sz w:val="21"/>
          <w:szCs w:val="21"/>
        </w:rPr>
        <w:t> relationship (also known as a </w:t>
      </w:r>
      <w:r>
        <w:rPr>
          <w:rStyle w:val="docemphasis"/>
          <w:rFonts w:ascii="Helvetica" w:hAnsi="Helvetica" w:cs="Helvetica"/>
          <w:color w:val="333333"/>
          <w:sz w:val="21"/>
          <w:szCs w:val="21"/>
        </w:rPr>
        <w:t>recursive</w:t>
      </w:r>
      <w:r>
        <w:rPr>
          <w:rFonts w:ascii="Helvetica" w:hAnsi="Helvetica" w:cs="Helvetica"/>
          <w:color w:val="333333"/>
          <w:sz w:val="21"/>
          <w:szCs w:val="21"/>
        </w:rPr>
        <w:t> relationship) to itself when a given record in the table is related to other records within the table. Similar to its dual-table counterpart, a self-referencing relationship can be one-to-one, one-to-many, or many-to-many.</w:t>
      </w:r>
    </w:p>
    <w:p w:rsidR="00195E62" w:rsidRDefault="00195E62" w:rsidP="00195E62">
      <w:pPr>
        <w:pStyle w:val="Heading5"/>
        <w:shd w:val="clear" w:color="auto" w:fill="FFFFFF"/>
        <w:spacing w:before="150" w:after="150"/>
        <w:jc w:val="both"/>
        <w:rPr>
          <w:rFonts w:ascii="Helvetica" w:hAnsi="Helvetica" w:cs="Helvetica"/>
          <w:color w:val="333333"/>
          <w:sz w:val="21"/>
          <w:szCs w:val="21"/>
        </w:rPr>
      </w:pPr>
      <w:r>
        <w:rPr>
          <w:rFonts w:ascii="Helvetica" w:hAnsi="Helvetica" w:cs="Helvetica"/>
          <w:b/>
          <w:bCs/>
          <w:color w:val="333333"/>
          <w:sz w:val="21"/>
          <w:szCs w:val="21"/>
        </w:rPr>
        <w:t>One-to-One</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w:t>
      </w:r>
      <w:r>
        <w:rPr>
          <w:rStyle w:val="docemphasis"/>
          <w:rFonts w:ascii="Helvetica" w:hAnsi="Helvetica" w:cs="Helvetica"/>
          <w:color w:val="333333"/>
          <w:sz w:val="21"/>
          <w:szCs w:val="21"/>
        </w:rPr>
        <w:t>self-referencing</w:t>
      </w:r>
      <w:r>
        <w:rPr>
          <w:rFonts w:ascii="Helvetica" w:hAnsi="Helvetica" w:cs="Helvetica"/>
          <w:color w:val="333333"/>
          <w:sz w:val="21"/>
          <w:szCs w:val="21"/>
        </w:rPr>
        <w:t> </w:t>
      </w:r>
      <w:r>
        <w:rPr>
          <w:rStyle w:val="docemphasis"/>
          <w:rFonts w:ascii="Helvetica" w:hAnsi="Helvetica" w:cs="Helvetica"/>
          <w:color w:val="333333"/>
          <w:sz w:val="21"/>
          <w:szCs w:val="21"/>
        </w:rPr>
        <w:t>one-to-one</w:t>
      </w:r>
      <w:r>
        <w:rPr>
          <w:rFonts w:ascii="Helvetica" w:hAnsi="Helvetica" w:cs="Helvetica"/>
          <w:color w:val="333333"/>
          <w:sz w:val="21"/>
          <w:szCs w:val="21"/>
        </w:rPr>
        <w:t> relationship exists when a given record in the table can be related to only one other record within the table. The MEMBERS table in Figure 10.20 is an example of a table with this type of relationship. In this case, a given member can sponsor only one other member within the organization; the S</w:t>
      </w:r>
      <w:r>
        <w:rPr>
          <w:rStyle w:val="docemphsmaller"/>
          <w:rFonts w:ascii="Helvetica" w:eastAsiaTheme="majorEastAsia" w:hAnsi="Helvetica" w:cs="Helvetica"/>
          <w:color w:val="333333"/>
          <w:sz w:val="21"/>
          <w:szCs w:val="21"/>
        </w:rPr>
        <w:t>PONSOR </w:t>
      </w:r>
      <w:r>
        <w:rPr>
          <w:rFonts w:ascii="Helvetica" w:hAnsi="Helvetica" w:cs="Helvetica"/>
          <w:color w:val="333333"/>
          <w:sz w:val="21"/>
          <w:szCs w:val="21"/>
        </w:rPr>
        <w:t xml:space="preserve">ID field stores the member identification number of the member acting as a sponsor. Note that Susan McLain is Tom </w:t>
      </w:r>
      <w:proofErr w:type="spellStart"/>
      <w:r>
        <w:rPr>
          <w:rFonts w:ascii="Helvetica" w:hAnsi="Helvetica" w:cs="Helvetica"/>
          <w:color w:val="333333"/>
          <w:sz w:val="21"/>
          <w:szCs w:val="21"/>
        </w:rPr>
        <w:t>Wickerath's</w:t>
      </w:r>
      <w:proofErr w:type="spellEnd"/>
      <w:r>
        <w:rPr>
          <w:rFonts w:ascii="Helvetica" w:hAnsi="Helvetica" w:cs="Helvetica"/>
          <w:color w:val="333333"/>
          <w:sz w:val="21"/>
          <w:szCs w:val="21"/>
        </w:rPr>
        <w:t xml:space="preserve"> sponsor.</w:t>
      </w:r>
    </w:p>
    <w:p w:rsidR="00195E62" w:rsidRDefault="00195E62" w:rsidP="00195E62">
      <w:pPr>
        <w:pStyle w:val="Heading5"/>
        <w:shd w:val="clear" w:color="auto" w:fill="FFFFFF"/>
        <w:spacing w:before="150" w:after="150"/>
        <w:jc w:val="both"/>
        <w:rPr>
          <w:rFonts w:ascii="inherit" w:hAnsi="inherit" w:cs="Helvetica"/>
          <w:color w:val="333333"/>
          <w:sz w:val="21"/>
          <w:szCs w:val="21"/>
        </w:rPr>
      </w:pPr>
      <w:r>
        <w:rPr>
          <w:rFonts w:ascii="inherit" w:hAnsi="inherit" w:cs="Helvetica"/>
          <w:b/>
          <w:bCs/>
          <w:color w:val="333333"/>
          <w:sz w:val="21"/>
          <w:szCs w:val="21"/>
        </w:rPr>
        <w:t>Figure 10.20. Example of a self-referencing one-to-one relationship.</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60595" cy="2218055"/>
            <wp:effectExtent l="0" t="0" r="1905" b="0"/>
            <wp:docPr id="4" name="Picture 4" descr="graphics/10fi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10fig2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0595" cy="2218055"/>
                    </a:xfrm>
                    <a:prstGeom prst="rect">
                      <a:avLst/>
                    </a:prstGeom>
                    <a:noFill/>
                    <a:ln>
                      <a:noFill/>
                    </a:ln>
                  </pic:spPr>
                </pic:pic>
              </a:graphicData>
            </a:graphic>
          </wp:inline>
        </w:drawing>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Figure 10.21 shows how you diagram this type of relationship.</w:t>
      </w:r>
    </w:p>
    <w:p w:rsidR="00195E62" w:rsidRDefault="00195E62" w:rsidP="00195E62">
      <w:pPr>
        <w:pStyle w:val="Heading5"/>
        <w:shd w:val="clear" w:color="auto" w:fill="FFFFFF"/>
        <w:spacing w:before="150" w:after="150"/>
        <w:jc w:val="both"/>
        <w:rPr>
          <w:rFonts w:ascii="inherit" w:hAnsi="inherit" w:cs="Helvetica"/>
          <w:color w:val="333333"/>
          <w:sz w:val="21"/>
          <w:szCs w:val="21"/>
        </w:rPr>
      </w:pPr>
      <w:r>
        <w:rPr>
          <w:rFonts w:ascii="inherit" w:hAnsi="inherit" w:cs="Helvetica"/>
          <w:b/>
          <w:bCs/>
          <w:color w:val="333333"/>
          <w:sz w:val="21"/>
          <w:szCs w:val="21"/>
        </w:rPr>
        <w:lastRenderedPageBreak/>
        <w:t>Figure 10.21. Diagramming a self-referencing one-to-one relationship.</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60595" cy="1837055"/>
            <wp:effectExtent l="0" t="0" r="1905" b="0"/>
            <wp:docPr id="3" name="Picture 3" descr="graphics/10fig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10fig2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0595" cy="1837055"/>
                    </a:xfrm>
                    <a:prstGeom prst="rect">
                      <a:avLst/>
                    </a:prstGeom>
                    <a:noFill/>
                    <a:ln>
                      <a:noFill/>
                    </a:ln>
                  </pic:spPr>
                </pic:pic>
              </a:graphicData>
            </a:graphic>
          </wp:inline>
        </w:drawing>
      </w:r>
    </w:p>
    <w:p w:rsidR="00195E62" w:rsidRDefault="00195E62" w:rsidP="00195E62">
      <w:pPr>
        <w:pStyle w:val="Heading5"/>
        <w:shd w:val="clear" w:color="auto" w:fill="FFFFFF"/>
        <w:spacing w:before="150" w:after="150"/>
        <w:jc w:val="both"/>
        <w:rPr>
          <w:rFonts w:ascii="Helvetica" w:hAnsi="Helvetica" w:cs="Helvetica"/>
          <w:color w:val="333333"/>
          <w:sz w:val="21"/>
          <w:szCs w:val="21"/>
        </w:rPr>
      </w:pPr>
      <w:r>
        <w:rPr>
          <w:rFonts w:ascii="Helvetica" w:hAnsi="Helvetica" w:cs="Helvetica"/>
          <w:b/>
          <w:bCs/>
          <w:color w:val="333333"/>
          <w:sz w:val="21"/>
          <w:szCs w:val="21"/>
        </w:rPr>
        <w:t>One-to-Many</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table bears a </w:t>
      </w:r>
      <w:r>
        <w:rPr>
          <w:rStyle w:val="docemphasis"/>
          <w:rFonts w:ascii="Helvetica" w:hAnsi="Helvetica" w:cs="Helvetica"/>
          <w:color w:val="333333"/>
          <w:sz w:val="21"/>
          <w:szCs w:val="21"/>
        </w:rPr>
        <w:t>self-referencing one-to-many</w:t>
      </w:r>
      <w:r>
        <w:rPr>
          <w:rFonts w:ascii="Helvetica" w:hAnsi="Helvetica" w:cs="Helvetica"/>
          <w:color w:val="333333"/>
          <w:sz w:val="21"/>
          <w:szCs w:val="21"/>
        </w:rPr>
        <w:t> relationship to itself when a given record in the table can be related to one or more other records within the table. Figure 10.22 shows an example in which a given customer can refer other customers to the organization. The R</w:t>
      </w:r>
      <w:r>
        <w:rPr>
          <w:rStyle w:val="docemphsmaller"/>
          <w:rFonts w:ascii="Helvetica" w:eastAsiaTheme="majorEastAsia" w:hAnsi="Helvetica" w:cs="Helvetica"/>
          <w:color w:val="333333"/>
          <w:sz w:val="21"/>
          <w:szCs w:val="21"/>
        </w:rPr>
        <w:t>EFERRED </w:t>
      </w:r>
      <w:r>
        <w:rPr>
          <w:rFonts w:ascii="Helvetica" w:hAnsi="Helvetica" w:cs="Helvetica"/>
          <w:color w:val="333333"/>
          <w:sz w:val="21"/>
          <w:szCs w:val="21"/>
        </w:rPr>
        <w:t>B</w:t>
      </w:r>
      <w:r>
        <w:rPr>
          <w:rStyle w:val="docemphsmaller"/>
          <w:rFonts w:ascii="Helvetica" w:eastAsiaTheme="majorEastAsia" w:hAnsi="Helvetica" w:cs="Helvetica"/>
          <w:color w:val="333333"/>
          <w:sz w:val="21"/>
          <w:szCs w:val="21"/>
        </w:rPr>
        <w:t>Y</w:t>
      </w:r>
      <w:r>
        <w:rPr>
          <w:rFonts w:ascii="Helvetica" w:hAnsi="Helvetica" w:cs="Helvetica"/>
          <w:color w:val="333333"/>
          <w:sz w:val="21"/>
          <w:szCs w:val="21"/>
        </w:rPr>
        <w:t xml:space="preserve"> field stores the customer identification number of the customer making the referral. Note that Paul </w:t>
      </w:r>
      <w:proofErr w:type="spellStart"/>
      <w:r>
        <w:rPr>
          <w:rFonts w:ascii="Helvetica" w:hAnsi="Helvetica" w:cs="Helvetica"/>
          <w:color w:val="333333"/>
          <w:sz w:val="21"/>
          <w:szCs w:val="21"/>
        </w:rPr>
        <w:t>Litwin</w:t>
      </w:r>
      <w:proofErr w:type="spellEnd"/>
      <w:r>
        <w:rPr>
          <w:rFonts w:ascii="Helvetica" w:hAnsi="Helvetica" w:cs="Helvetica"/>
          <w:color w:val="333333"/>
          <w:sz w:val="21"/>
          <w:szCs w:val="21"/>
        </w:rPr>
        <w:t xml:space="preserve"> referred both Andy Baron and Mary </w:t>
      </w:r>
      <w:proofErr w:type="spellStart"/>
      <w:r>
        <w:rPr>
          <w:rFonts w:ascii="Helvetica" w:hAnsi="Helvetica" w:cs="Helvetica"/>
          <w:color w:val="333333"/>
          <w:sz w:val="21"/>
          <w:szCs w:val="21"/>
        </w:rPr>
        <w:t>Chipman</w:t>
      </w:r>
      <w:proofErr w:type="spellEnd"/>
      <w:r>
        <w:rPr>
          <w:rFonts w:ascii="Helvetica" w:hAnsi="Helvetica" w:cs="Helvetica"/>
          <w:color w:val="333333"/>
          <w:sz w:val="21"/>
          <w:szCs w:val="21"/>
        </w:rPr>
        <w:t>.</w:t>
      </w:r>
    </w:p>
    <w:p w:rsidR="00195E62" w:rsidRDefault="00195E62" w:rsidP="00195E62">
      <w:pPr>
        <w:pStyle w:val="Heading5"/>
        <w:shd w:val="clear" w:color="auto" w:fill="FFFFFF"/>
        <w:spacing w:before="150" w:after="150"/>
        <w:jc w:val="both"/>
        <w:rPr>
          <w:rFonts w:ascii="inherit" w:hAnsi="inherit" w:cs="Helvetica"/>
          <w:color w:val="333333"/>
          <w:sz w:val="21"/>
          <w:szCs w:val="21"/>
        </w:rPr>
      </w:pPr>
      <w:r>
        <w:rPr>
          <w:rFonts w:ascii="inherit" w:hAnsi="inherit" w:cs="Helvetica"/>
          <w:b/>
          <w:bCs/>
          <w:color w:val="333333"/>
          <w:sz w:val="21"/>
          <w:szCs w:val="21"/>
        </w:rPr>
        <w:t>Figure 10.22. Example of a self-referencing one-to-many relationship.</w:t>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60595" cy="2161540"/>
            <wp:effectExtent l="0" t="0" r="1905" b="0"/>
            <wp:docPr id="2" name="Picture 2" descr="graphics/10fig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10fig2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0595" cy="2161540"/>
                    </a:xfrm>
                    <a:prstGeom prst="rect">
                      <a:avLst/>
                    </a:prstGeom>
                    <a:noFill/>
                    <a:ln>
                      <a:noFill/>
                    </a:ln>
                  </pic:spPr>
                </pic:pic>
              </a:graphicData>
            </a:graphic>
          </wp:inline>
        </w:drawing>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Figure 10.23 shows how you diagram a self-referencing one-to-many relationship.</w:t>
      </w:r>
    </w:p>
    <w:p w:rsidR="00195E62" w:rsidRDefault="00195E62" w:rsidP="00195E62">
      <w:pPr>
        <w:pStyle w:val="Heading5"/>
        <w:shd w:val="clear" w:color="auto" w:fill="FFFFFF"/>
        <w:spacing w:before="150" w:after="150"/>
        <w:jc w:val="both"/>
        <w:rPr>
          <w:rFonts w:ascii="inherit" w:hAnsi="inherit" w:cs="Helvetica"/>
          <w:color w:val="333333"/>
          <w:sz w:val="21"/>
          <w:szCs w:val="21"/>
        </w:rPr>
      </w:pPr>
      <w:r>
        <w:rPr>
          <w:rFonts w:ascii="inherit" w:hAnsi="inherit" w:cs="Helvetica"/>
          <w:b/>
          <w:bCs/>
          <w:color w:val="333333"/>
          <w:sz w:val="21"/>
          <w:szCs w:val="21"/>
        </w:rPr>
        <w:t>Figure 10.23. Diagramming a self-referencing one-to-many relationship.</w:t>
      </w:r>
    </w:p>
    <w:p w:rsidR="00195E62" w:rsidRDefault="00195E62" w:rsidP="00195E62">
      <w:pPr>
        <w:pStyle w:val="doctext"/>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32480" cy="1612265"/>
            <wp:effectExtent l="0" t="0" r="1270" b="6985"/>
            <wp:docPr id="1" name="Picture 1" descr="graphics/10fi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10fig2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480" cy="1612265"/>
                    </a:xfrm>
                    <a:prstGeom prst="rect">
                      <a:avLst/>
                    </a:prstGeom>
                    <a:noFill/>
                    <a:ln>
                      <a:noFill/>
                    </a:ln>
                  </pic:spPr>
                </pic:pic>
              </a:graphicData>
            </a:graphic>
          </wp:inline>
        </w:drawing>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p>
    <w:p w:rsidR="00195E62" w:rsidRDefault="00195E62" w:rsidP="00195E62">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lastRenderedPageBreak/>
        <w:t>Many-to-Many</w:t>
      </w:r>
    </w:p>
    <w:p w:rsidR="00195E62" w:rsidRDefault="00195E62" w:rsidP="00195E62">
      <w:pPr>
        <w:pStyle w:val="doctex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w:t>
      </w:r>
      <w:r>
        <w:rPr>
          <w:rStyle w:val="docemphasis"/>
          <w:rFonts w:ascii="Helvetica" w:hAnsi="Helvetica" w:cs="Helvetica"/>
          <w:color w:val="333333"/>
          <w:sz w:val="21"/>
          <w:szCs w:val="21"/>
        </w:rPr>
        <w:t>self-referencing many-to-many</w:t>
      </w:r>
      <w:r>
        <w:rPr>
          <w:rFonts w:ascii="Helvetica" w:hAnsi="Helvetica" w:cs="Helvetica"/>
          <w:color w:val="333333"/>
          <w:sz w:val="21"/>
          <w:szCs w:val="21"/>
        </w:rPr>
        <w:t> relationship exists when a given record in the table can be related to one or more other records within the table and one or more records can themselves be related to the given record. This may sound somewhat confusing at first, but the example in Figure 10.24 should help clarify the matter.</w:t>
      </w:r>
    </w:p>
    <w:p w:rsidR="00195E62" w:rsidRDefault="00195E62" w:rsidP="00195E62">
      <w:pPr>
        <w:pStyle w:val="Heading5"/>
        <w:shd w:val="clear" w:color="auto" w:fill="FFFFFF"/>
        <w:spacing w:before="150" w:after="150"/>
        <w:jc w:val="center"/>
        <w:rPr>
          <w:rFonts w:ascii="inherit" w:hAnsi="inherit" w:cs="Helvetica"/>
          <w:color w:val="333333"/>
          <w:sz w:val="21"/>
          <w:szCs w:val="21"/>
        </w:rPr>
      </w:pPr>
      <w:r>
        <w:rPr>
          <w:rFonts w:ascii="inherit" w:hAnsi="inherit" w:cs="Helvetica"/>
          <w:b/>
          <w:bCs/>
          <w:color w:val="333333"/>
          <w:sz w:val="21"/>
          <w:szCs w:val="21"/>
        </w:rPr>
        <w:t>Figure 10.24. Example of a self-referencing many-to-many relationship.</w:t>
      </w:r>
    </w:p>
    <w:p w:rsidR="00195E62" w:rsidRDefault="00195E62" w:rsidP="00195E62">
      <w:pPr>
        <w:pStyle w:val="doctext"/>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31665" cy="3088005"/>
            <wp:effectExtent l="0" t="0" r="6985" b="0"/>
            <wp:docPr id="5" name="Picture 5" descr="graphics/10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10fig2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665" cy="3088005"/>
                    </a:xfrm>
                    <a:prstGeom prst="rect">
                      <a:avLst/>
                    </a:prstGeom>
                    <a:noFill/>
                    <a:ln>
                      <a:noFill/>
                    </a:ln>
                  </pic:spPr>
                </pic:pic>
              </a:graphicData>
            </a:graphic>
          </wp:inline>
        </w:drawing>
      </w:r>
    </w:p>
    <w:p w:rsidR="00195E62" w:rsidRDefault="00195E62" w:rsidP="00195E62">
      <w:pPr>
        <w:pStyle w:val="doctext"/>
        <w:shd w:val="clear" w:color="auto" w:fill="FFFFFF"/>
        <w:spacing w:before="0" w:beforeAutospacing="0" w:after="150" w:afterAutospacing="0"/>
        <w:jc w:val="center"/>
        <w:rPr>
          <w:rFonts w:ascii="Helvetica" w:hAnsi="Helvetica" w:cs="Helvetica"/>
          <w:color w:val="333333"/>
          <w:sz w:val="21"/>
          <w:szCs w:val="21"/>
        </w:rPr>
      </w:pPr>
    </w:p>
    <w:p w:rsidR="00195E62" w:rsidRDefault="00195E62" w:rsidP="00195E62">
      <w:pPr>
        <w:pStyle w:val="doctext"/>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case, a particular part can comprise several different component parts, </w:t>
      </w:r>
      <w:r>
        <w:rPr>
          <w:rStyle w:val="docemphasis"/>
          <w:rFonts w:ascii="Helvetica" w:hAnsi="Helvetica" w:cs="Helvetica"/>
          <w:color w:val="333333"/>
          <w:sz w:val="21"/>
          <w:szCs w:val="21"/>
        </w:rPr>
        <w:t>and</w:t>
      </w:r>
      <w:r>
        <w:rPr>
          <w:rFonts w:ascii="Helvetica" w:hAnsi="Helvetica" w:cs="Helvetica"/>
          <w:color w:val="333333"/>
          <w:sz w:val="21"/>
          <w:szCs w:val="21"/>
        </w:rPr>
        <w:t> it can itself be a component of other parts. For example, a clamp assembly (Part ID 704) is composed of a fastening bolt (Part ID 703), a bottom clamp (Part ID 702), and a top clamp (Part ID 701). Additionally, the clamp assembly is itself a component of a seat assembly (Part ID 707) and a frame assembly (Part ID 711). Figure 10.25 shows how you diagram this type of relationship.</w:t>
      </w:r>
    </w:p>
    <w:p w:rsidR="00195E62" w:rsidRDefault="00195E62" w:rsidP="00195E62">
      <w:pPr>
        <w:pStyle w:val="Heading5"/>
        <w:shd w:val="clear" w:color="auto" w:fill="FFFFFF"/>
        <w:spacing w:before="150" w:after="150"/>
        <w:jc w:val="center"/>
        <w:rPr>
          <w:rFonts w:ascii="inherit" w:hAnsi="inherit" w:cs="Helvetica"/>
          <w:color w:val="333333"/>
          <w:sz w:val="21"/>
          <w:szCs w:val="21"/>
        </w:rPr>
      </w:pPr>
      <w:r>
        <w:rPr>
          <w:rFonts w:ascii="inherit" w:hAnsi="inherit" w:cs="Helvetica"/>
          <w:b/>
          <w:bCs/>
          <w:color w:val="333333"/>
          <w:sz w:val="21"/>
          <w:szCs w:val="21"/>
        </w:rPr>
        <w:t>Figure 10.25. Diagramming a self-referencing many-to-many relationship.</w:t>
      </w:r>
    </w:p>
    <w:p w:rsidR="00195E62" w:rsidRDefault="00195E62" w:rsidP="00195E62">
      <w:pPr>
        <w:pStyle w:val="doctext"/>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59405" cy="1379855"/>
            <wp:effectExtent l="0" t="0" r="0" b="0"/>
            <wp:docPr id="6" name="Picture 6" descr="graphics/10fi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10fig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379855"/>
                    </a:xfrm>
                    <a:prstGeom prst="rect">
                      <a:avLst/>
                    </a:prstGeom>
                    <a:noFill/>
                    <a:ln>
                      <a:noFill/>
                    </a:ln>
                  </pic:spPr>
                </pic:pic>
              </a:graphicData>
            </a:graphic>
          </wp:inline>
        </w:drawing>
      </w: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bookmarkStart w:id="0" w:name="_GoBack"/>
      <w:bookmarkEnd w:id="0"/>
    </w:p>
    <w:p w:rsidR="00195E62" w:rsidRDefault="00195E62" w:rsidP="00195E62">
      <w:pPr>
        <w:pStyle w:val="doctext"/>
        <w:shd w:val="clear" w:color="auto" w:fill="FFFFFF"/>
        <w:spacing w:before="0" w:beforeAutospacing="0" w:after="150" w:afterAutospacing="0"/>
        <w:jc w:val="center"/>
        <w:rPr>
          <w:rFonts w:ascii="Helvetica" w:hAnsi="Helvetica" w:cs="Helvetica"/>
          <w:color w:val="333333"/>
          <w:sz w:val="21"/>
          <w:szCs w:val="21"/>
        </w:rPr>
      </w:pP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p>
    <w:p w:rsidR="00195E62" w:rsidRDefault="00195E62" w:rsidP="00195E62">
      <w:pPr>
        <w:pStyle w:val="doctext"/>
        <w:shd w:val="clear" w:color="auto" w:fill="FFFFFF"/>
        <w:spacing w:before="0" w:beforeAutospacing="0" w:after="150" w:afterAutospacing="0"/>
        <w:jc w:val="both"/>
        <w:rPr>
          <w:rFonts w:ascii="Helvetica" w:hAnsi="Helvetica" w:cs="Helvetica"/>
          <w:color w:val="333333"/>
          <w:sz w:val="21"/>
          <w:szCs w:val="21"/>
        </w:rPr>
      </w:pPr>
    </w:p>
    <w:p w:rsidR="00195E62" w:rsidRDefault="00195E62" w:rsidP="00195E62">
      <w:pPr>
        <w:jc w:val="both"/>
      </w:pPr>
    </w:p>
    <w:sectPr w:rsidR="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0A"/>
    <w:rsid w:val="00195E62"/>
    <w:rsid w:val="007C6450"/>
    <w:rsid w:val="00B84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E9E2-DDE7-4F94-90B5-EE012FFB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4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95E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5E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30A"/>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B8430A"/>
  </w:style>
  <w:style w:type="paragraph" w:customStyle="1" w:styleId="comp">
    <w:name w:val="comp"/>
    <w:basedOn w:val="Normal"/>
    <w:rsid w:val="00B84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95E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5E62"/>
    <w:rPr>
      <w:rFonts w:asciiTheme="majorHAnsi" w:eastAsiaTheme="majorEastAsia" w:hAnsiTheme="majorHAnsi" w:cstheme="majorBidi"/>
      <w:color w:val="2E74B5" w:themeColor="accent1" w:themeShade="BF"/>
    </w:rPr>
  </w:style>
  <w:style w:type="paragraph" w:customStyle="1" w:styleId="doctext">
    <w:name w:val="doctext"/>
    <w:basedOn w:val="Normal"/>
    <w:rsid w:val="00195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195E62"/>
  </w:style>
  <w:style w:type="character" w:customStyle="1" w:styleId="docemphsmaller">
    <w:name w:val="docemphsmaller"/>
    <w:basedOn w:val="DefaultParagraphFont"/>
    <w:rsid w:val="00195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8971">
      <w:bodyDiv w:val="1"/>
      <w:marLeft w:val="0"/>
      <w:marRight w:val="0"/>
      <w:marTop w:val="0"/>
      <w:marBottom w:val="0"/>
      <w:divBdr>
        <w:top w:val="none" w:sz="0" w:space="0" w:color="auto"/>
        <w:left w:val="none" w:sz="0" w:space="0" w:color="auto"/>
        <w:bottom w:val="none" w:sz="0" w:space="0" w:color="auto"/>
        <w:right w:val="none" w:sz="0" w:space="0" w:color="auto"/>
      </w:divBdr>
    </w:div>
    <w:div w:id="782310715">
      <w:bodyDiv w:val="1"/>
      <w:marLeft w:val="0"/>
      <w:marRight w:val="0"/>
      <w:marTop w:val="0"/>
      <w:marBottom w:val="0"/>
      <w:divBdr>
        <w:top w:val="none" w:sz="0" w:space="0" w:color="auto"/>
        <w:left w:val="none" w:sz="0" w:space="0" w:color="auto"/>
        <w:bottom w:val="none" w:sz="0" w:space="0" w:color="auto"/>
        <w:right w:val="none" w:sz="0" w:space="0" w:color="auto"/>
      </w:divBdr>
    </w:div>
    <w:div w:id="1192957595">
      <w:bodyDiv w:val="1"/>
      <w:marLeft w:val="0"/>
      <w:marRight w:val="0"/>
      <w:marTop w:val="0"/>
      <w:marBottom w:val="0"/>
      <w:divBdr>
        <w:top w:val="none" w:sz="0" w:space="0" w:color="auto"/>
        <w:left w:val="none" w:sz="0" w:space="0" w:color="auto"/>
        <w:bottom w:val="none" w:sz="0" w:space="0" w:color="auto"/>
        <w:right w:val="none" w:sz="0" w:space="0" w:color="auto"/>
      </w:divBdr>
    </w:div>
    <w:div w:id="16600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2022-10-27T09:13:00Z</dcterms:created>
  <dcterms:modified xsi:type="dcterms:W3CDTF">2022-10-27T11:47:00Z</dcterms:modified>
</cp:coreProperties>
</file>