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b/>
          <w:color w:val="173B3B"/>
          <w:sz w:val="76"/>
        </w:rPr>
        <w:t>INCOMPOL</w:t>
      </w:r>
    </w:p>
    <w:p>
      <w:pPr>
        <w:pStyle w:val="Subtitle"/>
      </w:pPr>
      <w:r>
        <w:t>PRODPLAN ONE</w:t>
      </w:r>
    </w:p>
    <w:p>
      <w:pPr>
        <w:spacing w:before="1600"/>
      </w:pPr>
      <w:r>
        <w:rPr>
          <w:b/>
          <w:color w:val="173B3B"/>
          <w:sz w:val="64"/>
        </w:rPr>
        <w:t>Manual técnico</w:t>
        <w:br/>
        <w:t>e funcional</w:t>
      </w:r>
    </w:p>
    <w:p>
      <w:pPr>
        <w:pStyle w:val="Subtitle"/>
      </w:pPr>
      <w:r>
        <w:t>Sistema de planeamento de produção</w:t>
      </w:r>
    </w:p>
    <w:p>
      <w:r>
        <w:t>Regras de negócio · Indicadores · Ecrãs · Funcionalidades</w:t>
      </w:r>
    </w:p>
    <w:p>
      <w:r>
        <w:t>Operação · Otimização · Arquitetura · Limitações</w:t>
      </w:r>
    </w:p>
    <w:p>
      <w:pPr>
        <w:spacing w:before="1400"/>
      </w:pPr>
      <w:r>
        <w:rPr>
          <w:b/>
        </w:rPr>
        <w:t>Edição 1.0</w:t>
        <w:br/>
        <w:t>16 de setembro de 2026</w:t>
      </w:r>
    </w:p>
    <w:p>
      <w:pPr>
        <w:pStyle w:val="Caption"/>
      </w:pPr>
      <w:r>
        <w:t>Referência técnica e operacional baseada no código e na configuração do sistema.</w:t>
      </w:r>
    </w:p>
    <w:p>
      <w:r>
        <w:br w:type="page"/>
      </w:r>
    </w:p>
    <w:p>
      <w:pPr>
        <w:pStyle w:val="Title"/>
      </w:pPr>
      <w:r>
        <w:t>Índice navegável</w:t>
      </w:r>
    </w:p>
    <w:p>
      <w:pPr>
        <w:spacing w:after="60"/>
        <w:ind w:left="0"/>
      </w:pPr>
      <w:hyperlink w:anchor="manual_0">
        <w:r>
          <w:rPr>
            <w:color w:val="173B3B"/>
            <w:b/>
          </w:rPr>
          <w:t>1. Objetivo, âmbito e conceitos</w:t>
        </w:r>
      </w:hyperlink>
    </w:p>
    <w:p>
      <w:pPr>
        <w:spacing w:after="60"/>
        <w:ind w:left="0"/>
      </w:pPr>
      <w:hyperlink w:anchor="manual_1">
        <w:r>
          <w:rPr>
            <w:color w:val="173B3B"/>
            <w:b/>
          </w:rPr>
          <w:t>2. ISOP, necessidades e carregamento</w:t>
        </w:r>
      </w:hyperlink>
    </w:p>
    <w:p>
      <w:pPr>
        <w:spacing w:after="60"/>
        <w:ind w:left="0"/>
      </w:pPr>
      <w:hyperlink w:anchor="manual_2">
        <w:r>
          <w:rPr>
            <w:color w:val="173B3B"/>
            <w:b/>
          </w:rPr>
          <w:t>3. Calendário, capacidade e recursos</w:t>
        </w:r>
      </w:hyperlink>
    </w:p>
    <w:p>
      <w:pPr>
        <w:spacing w:after="60"/>
        <w:ind w:left="0"/>
      </w:pPr>
      <w:hyperlink w:anchor="manual_3">
        <w:r>
          <w:rPr>
            <w:color w:val="173B3B"/>
            <w:b/>
          </w:rPr>
          <w:t>4. Lotes, OEE e coprodução</w:t>
        </w:r>
      </w:hyperlink>
    </w:p>
    <w:p>
      <w:pPr>
        <w:spacing w:after="60"/>
        <w:ind w:left="0"/>
      </w:pPr>
      <w:hyperlink w:anchor="manual_4">
        <w:r>
          <w:rPr>
            <w:color w:val="173B3B"/>
            <w:b/>
          </w:rPr>
          <w:t>5. Setups, material e subcontratação</w:t>
        </w:r>
      </w:hyperlink>
    </w:p>
    <w:p>
      <w:pPr>
        <w:spacing w:after="60"/>
        <w:ind w:left="0"/>
      </w:pPr>
      <w:hyperlink w:anchor="manual_5">
        <w:r>
          <w:rPr>
            <w:color w:val="173B3B"/>
            <w:b/>
          </w:rPr>
          <w:t>6. Prioridades e espaços vazios</w:t>
        </w:r>
      </w:hyperlink>
    </w:p>
    <w:p>
      <w:pPr>
        <w:spacing w:after="60"/>
        <w:ind w:left="0"/>
      </w:pPr>
      <w:hyperlink w:anchor="manual_6">
        <w:r>
          <w:rPr>
            <w:color w:val="173B3B"/>
            <w:b/>
          </w:rPr>
          <w:t>7. OTD: entregas por lote</w:t>
        </w:r>
      </w:hyperlink>
    </w:p>
    <w:p>
      <w:pPr>
        <w:spacing w:after="60"/>
        <w:ind w:left="0"/>
      </w:pPr>
      <w:hyperlink w:anchor="manual_7">
        <w:r>
          <w:rPr>
            <w:color w:val="173B3B"/>
            <w:b/>
          </w:rPr>
          <w:t>8. OTD-D, stock e outras métricas</w:t>
        </w:r>
      </w:hyperlink>
    </w:p>
    <w:p>
      <w:pPr>
        <w:spacing w:after="60"/>
        <w:ind w:left="0"/>
      </w:pPr>
      <w:hyperlink w:anchor="manual_8">
        <w:r>
          <w:rPr>
            <w:color w:val="173B3B"/>
            <w:b/>
          </w:rPr>
          <w:t>9. Qualidade, gates e robustez</w:t>
        </w:r>
      </w:hyperlink>
    </w:p>
    <w:p>
      <w:pPr>
        <w:spacing w:after="60"/>
        <w:ind w:left="0"/>
      </w:pPr>
      <w:hyperlink w:anchor="manual_9">
        <w:r>
          <w:rPr>
            <w:color w:val="173B3B"/>
            <w:b/>
          </w:rPr>
          <w:t>10. Ecrãs: Hoje e Plano</w:t>
        </w:r>
      </w:hyperlink>
    </w:p>
    <w:p>
      <w:pPr>
        <w:spacing w:after="60"/>
        <w:ind w:left="0"/>
      </w:pPr>
      <w:hyperlink w:anchor="manual_10">
        <w:r>
          <w:rPr>
            <w:color w:val="173B3B"/>
            <w:b/>
          </w:rPr>
          <w:t>11. Ecrãs: Carga, Entregas e Risco</w:t>
        </w:r>
      </w:hyperlink>
    </w:p>
    <w:p>
      <w:pPr>
        <w:spacing w:after="60"/>
        <w:ind w:left="0"/>
      </w:pPr>
      <w:hyperlink w:anchor="manual_11">
        <w:r>
          <w:rPr>
            <w:color w:val="173B3B"/>
            <w:b/>
          </w:rPr>
          <w:t>12. Ecrã: Configuração</w:t>
        </w:r>
      </w:hyperlink>
    </w:p>
    <w:p>
      <w:pPr>
        <w:spacing w:after="60"/>
        <w:ind w:left="0"/>
      </w:pPr>
      <w:hyperlink w:anchor="manual_12">
        <w:r>
          <w:rPr>
            <w:color w:val="173B3B"/>
            <w:b/>
          </w:rPr>
          <w:t>13. Movimentos, simulações e promessa</w:t>
        </w:r>
      </w:hyperlink>
    </w:p>
    <w:p>
      <w:pPr>
        <w:spacing w:after="60"/>
        <w:ind w:left="0"/>
      </w:pPr>
      <w:hyperlink w:anchor="manual_13">
        <w:r>
          <w:rPr>
            <w:color w:val="173B3B"/>
            <w:b/>
          </w:rPr>
          <w:t>14. Operação, versões e assistência</w:t>
        </w:r>
      </w:hyperlink>
    </w:p>
    <w:p>
      <w:pPr>
        <w:spacing w:after="60"/>
        <w:ind w:left="0"/>
      </w:pPr>
      <w:hyperlink w:anchor="manual_14">
        <w:r>
          <w:rPr>
            <w:color w:val="173B3B"/>
            <w:b/>
          </w:rPr>
          <w:t>15. Motor e arquitetura</w:t>
        </w:r>
      </w:hyperlink>
    </w:p>
    <w:p>
      <w:pPr>
        <w:spacing w:after="60"/>
        <w:ind w:left="0"/>
      </w:pPr>
      <w:hyperlink w:anchor="manual_15">
        <w:r>
          <w:rPr>
            <w:color w:val="173B3B"/>
            <w:b/>
          </w:rPr>
          <w:t>16. API, persistência e implantação</w:t>
        </w:r>
      </w:hyperlink>
    </w:p>
    <w:p>
      <w:pPr>
        <w:spacing w:after="60"/>
        <w:ind w:left="0"/>
      </w:pPr>
      <w:hyperlink w:anchor="manual_16">
        <w:r>
          <w:rPr>
            <w:color w:val="173B3B"/>
            <w:b/>
          </w:rPr>
          <w:t>17. Limitações e critérios de aceitação</w:t>
        </w:r>
      </w:hyperlink>
    </w:p>
    <w:p>
      <w:pPr>
        <w:spacing w:after="60"/>
        <w:ind w:left="0"/>
      </w:pPr>
      <w:hyperlink w:anchor="manual_17">
        <w:r>
          <w:rPr>
            <w:color w:val="173B3B"/>
            <w:b/>
          </w:rPr>
          <w:t>18. Referência técnica e manutenção</w:t>
        </w:r>
      </w:hyperlink>
    </w:p>
    <w:p>
      <w:r>
        <w:br w:type="page"/>
      </w:r>
    </w:p>
    <w:p>
      <w:bookmarkStart w:id="0" w:name="manual_0"/>
      <w:pPr>
        <w:pStyle w:val="Heading1"/>
        <w:pageBreakBefore w:val="0"/>
      </w:pPr>
      <w:r>
        <w:t>1. Objetivo, âmbito e conceitos</w:t>
      </w:r>
      <w:bookmarkEnd w:id="0"/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ProdPlan ONE / INCOMPOL</w:t>
      </w:r>
      <w:r>
        <w:rPr>
          <w:b w:val="0"/>
          <w:i w:val="0"/>
        </w:rPr>
        <w:t xml:space="preserve"> transforma necessidades do ficheiro ISOP num plano com máquinas, ferramentas, equipas de setup e operadores. Calcula entregas, stock, carga e risco; permite comparar cenários, alterar regras e aplicar planos validados. Este manual destina-se a planeamento, produção, gestão e manutenção do software.</w:t>
      </w:r>
    </w:p>
    <w:p>
      <w:r>
        <w:rPr>
          <w:b w:val="0"/>
          <w:i w:val="0"/>
        </w:rPr>
      </w:r>
      <w:r>
        <w:rPr>
          <w:b/>
          <w:i w:val="0"/>
        </w:rPr>
        <w:t>Referência.</w:t>
      </w:r>
      <w:r>
        <w:rPr>
          <w:b w:val="0"/>
          <w:i w:val="0"/>
        </w:rPr>
        <w:t xml:space="preserve"> Descreve código de trabalho, configuração e interface consultados em 16-09-2026, incluindo alterações locais. Distingue regras pretendidas de comportamento implementado; não certifica uma versão imutável de produção. Os valores são uma fotografia da configuração, salvo invariantes identificadas.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0"/>
        <w:gridCol w:w="6241"/>
      </w:tblGrid>
      <w:tr>
        <w:trPr>
          <w:cantSplit/>
          <w:tblHeader/>
        </w:trPr>
        <w:tc>
          <w:tcPr>
            <w:tcW w:type="dxa" w:w="351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Conceito</w:t>
            </w:r>
          </w:p>
        </w:tc>
        <w:tc>
          <w:tcPr>
            <w:tcW w:type="dxa" w:w="6241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Significado operacional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SKU / referência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Artigo acompanhado em necessidades, produção e stock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Operação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Necessidades agregadas da mesma referência, máquina e ferramenta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Lote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Quantidade dimensionada para satisfazer uma ou mais necessidades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Campanha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Trabalho que conserva uma identidade de afinação compatível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Segmento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Parcela de setup e/ou produção numa máquina, dia e turno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Família de setup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Referências sucessivas com afinação partilhada confirmada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Gémeas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Duas referências produzidas simultaneamente no mesmo ciclo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Snapshot / revisão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Versão persistida / contador do estado aplicado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Uma referência pode ter vários lotes; um lote, vários segmentos. </w:t>
      </w:r>
      <w:r>
        <w:rPr>
          <w:b/>
          <w:i w:val="0"/>
        </w:rPr>
        <w:t>Lotes, segmentos, referências e encomendas não são contagens equivalentes.</w:t>
      </w:r>
      <w:r>
        <w:rPr>
          <w:b w:val="0"/>
          <w:i w:val="0"/>
        </w:rPr>
        <w:t xml:space="preserve"> Em Entregas, uma encomenda é uma necessidade líquida por cliente, referência e data, não necessariamente uma ordem ERP identificada.</w:t>
      </w:r>
    </w:p>
    <w:p>
      <w:r>
        <w:rPr>
          <w:b w:val="0"/>
          <w:i w:val="0"/>
        </w:rPr>
      </w:r>
      <w:r>
        <w:rPr>
          <w:b/>
          <w:i w:val="0"/>
        </w:rPr>
        <w:t>Datas.</w:t>
      </w:r>
      <w:r>
        <w:rPr>
          <w:b w:val="0"/>
          <w:i w:val="0"/>
        </w:rPr>
        <w:t xml:space="preserve"> D0 é a primeira data importada; </w:t>
      </w:r>
      <w:r>
        <w:rPr>
          <w:rFonts w:ascii="Liberation Mono" w:hAnsi="Liberation Mono"/>
          <w:b w:val="0"/>
          <w:i w:val="0"/>
          <w:sz w:val="17"/>
        </w:rPr>
        <w:t>day_idx</w:t>
      </w:r>
      <w:r>
        <w:rPr>
          <w:b w:val="0"/>
          <w:i w:val="0"/>
        </w:rPr>
        <w:t xml:space="preserve"> é a posição na sequência diária, que pode incluir fins de semana. Entrega ao cliente, prazo produtivo, envio externo e libertação de material são marcos diferentes. Índices negativos preservam compromissos anteriores a D0, mas não autorizam execução antes do horizonte.</w:t>
      </w:r>
    </w:p>
    <w:p>
      <w:r>
        <w:rPr>
          <w:b w:val="0"/>
          <w:i w:val="0"/>
        </w:rPr>
      </w:r>
      <w:r>
        <w:rPr>
          <w:b/>
          <w:i w:val="0"/>
        </w:rPr>
        <w:t>Limite do modelo.</w:t>
      </w:r>
      <w:r>
        <w:rPr>
          <w:b w:val="0"/>
          <w:i w:val="0"/>
        </w:rPr>
        <w:t xml:space="preserve"> O plano é uma previsão, não confirmação de execução. Não existe integração contínua nativa com MES, movimentos reais de armazém ou receções de matéria-prima. «Agora», «pronto» e «stock» são informação planeada. Fuso operacional: </w:t>
      </w:r>
      <w:r>
        <w:rPr>
          <w:rFonts w:ascii="Liberation Mono" w:hAnsi="Liberation Mono"/>
          <w:b w:val="0"/>
          <w:i w:val="0"/>
          <w:sz w:val="17"/>
        </w:rPr>
        <w:t>Europe/Lisbon</w:t>
      </w:r>
      <w:r>
        <w:rPr>
          <w:b w:val="0"/>
          <w:i w:val="0"/>
        </w:rPr>
        <w:t>.</w:t>
      </w:r>
    </w:p>
    <w:p>
      <w:bookmarkStart w:id="1" w:name="manual_1"/>
      <w:pPr>
        <w:pStyle w:val="Heading1"/>
        <w:pageBreakBefore/>
      </w:pPr>
      <w:r>
        <w:t>2. ISOP, necessidades e carregamento</w:t>
      </w:r>
      <w:bookmarkEnd w:id="1"/>
    </w:p>
    <w:p>
      <w:r>
        <w:rPr>
          <w:b w:val="0"/>
          <w:i w:val="0"/>
        </w:rPr>
      </w:r>
      <w:r>
        <w:rPr>
          <w:b/>
          <w:i w:val="0"/>
        </w:rPr>
        <w:t>Entrada.</w:t>
      </w:r>
      <w:r>
        <w:rPr>
          <w:b w:val="0"/>
          <w:i w:val="0"/>
        </w:rPr>
        <w:t xml:space="preserve"> Excel </w:t>
      </w:r>
      <w:r>
        <w:rPr>
          <w:rFonts w:ascii="Liberation Mono" w:hAnsi="Liberation Mono"/>
          <w:b w:val="0"/>
          <w:i w:val="0"/>
          <w:sz w:val="17"/>
        </w:rPr>
        <w:t>.xlsx</w:t>
      </w:r>
      <w:r>
        <w:rPr>
          <w:b w:val="0"/>
          <w:i w:val="0"/>
        </w:rPr>
        <w:t>, não vazio, até 25 MiB. O leitor usa a folha ativa; procura «Cliente» na coluna A nas primeiras vinte linhas e reconhece colunas normalizadas. As datas devem ser cabeçalhos Excel reais, diários, ordenados e contíguos. O parser não comprova integralmente a continuidade.</w:t>
      </w:r>
    </w:p>
    <w:p>
      <w:r>
        <w:rPr>
          <w:b w:val="0"/>
          <w:i w:val="0"/>
        </w:rPr>
        <w:t>Lê cliente, referência, designação, máquina, ferramenta, cadência, pessoas, eco-lote, WIP, ATRASO e necessidades. Fórmulas usam resultados guardados no Excel: o servidor não as recalcula. WIP e ATRASO não criam automaticamente fornecimentos/lotes adicionais. Setups e alternativas efetivos provêm da configuração.</w:t>
      </w:r>
    </w:p>
    <w:p>
      <w:r>
        <w:rPr>
          <w:b w:val="0"/>
          <w:i w:val="0"/>
        </w:rPr>
      </w:r>
      <w:r>
        <w:rPr>
          <w:b/>
          <w:i w:val="0"/>
        </w:rPr>
        <w:t>Necessidade NP.</w:t>
      </w:r>
      <w:r>
        <w:rPr>
          <w:b w:val="0"/>
          <w:i w:val="0"/>
        </w:rPr>
        <w:t xml:space="preserve"> O último positivo anterior ao primeiro negativo é stock informativo. Cada negativo origina necessidade positiva. Exemplo: </w:t>
      </w:r>
      <w:r>
        <w:rPr>
          <w:rFonts w:ascii="Liberation Mono" w:hAnsi="Liberation Mono"/>
          <w:b w:val="0"/>
          <w:i w:val="0"/>
          <w:sz w:val="17"/>
        </w:rPr>
        <w:t>100, 40, -60, 0, -80</w:t>
      </w:r>
      <w:r>
        <w:rPr>
          <w:b w:val="0"/>
          <w:i w:val="0"/>
        </w:rPr>
        <w:t xml:space="preserve"> produz stock 40 e necessidades </w:t>
      </w:r>
      <w:r>
        <w:rPr>
          <w:rFonts w:ascii="Liberation Mono" w:hAnsi="Liberation Mono"/>
          <w:b w:val="0"/>
          <w:i w:val="0"/>
          <w:sz w:val="17"/>
        </w:rPr>
        <w:t>0, 0, 60, 0, 80</w:t>
      </w:r>
      <w:r>
        <w:rPr>
          <w:b w:val="0"/>
          <w:i w:val="0"/>
        </w:rPr>
        <w:t xml:space="preserve">. NP já é necessidade líquida: </w:t>
      </w:r>
      <w:r>
        <w:rPr>
          <w:b/>
          <w:i w:val="0"/>
        </w:rPr>
        <w:t>não se desconta nem se soma novamente o stock inicial</w:t>
      </w:r>
      <w:r>
        <w:rPr>
          <w:b w:val="0"/>
          <w:i w:val="0"/>
        </w:rPr>
        <w:t xml:space="preserve"> nos lotes/cobertura.</w:t>
      </w:r>
    </w:p>
    <w:p>
      <w:r>
        <w:rPr>
          <w:b w:val="0"/>
          <w:i w:val="0"/>
        </w:rPr>
      </w:r>
      <w:r>
        <w:rPr>
          <w:b/>
          <w:i w:val="0"/>
        </w:rPr>
        <w:t>Transformação.</w:t>
      </w:r>
      <w:r>
        <w:rPr>
          <w:b w:val="0"/>
          <w:i w:val="0"/>
        </w:rPr>
        <w:t xml:space="preserve"> Agrega clientes por referência/máquina/ferramenta, preservando detalhe comercial. Aplica OEE, alternativas, setups, calendário, subcontratação e correções. Rotas ambíguas são rejeitadas. A classificação final das gémeas usa </w:t>
      </w:r>
      <w:r>
        <w:rPr>
          <w:rFonts w:ascii="Liberation Mono" w:hAnsi="Liberation Mono"/>
          <w:b w:val="0"/>
          <w:i w:val="0"/>
          <w:sz w:val="17"/>
        </w:rPr>
        <w:t>config.twins</w:t>
      </w:r>
      <w:r>
        <w:rPr>
          <w:b w:val="0"/>
          <w:i w:val="0"/>
        </w:rPr>
        <w:t xml:space="preserve"> atual.</w:t>
      </w:r>
    </w:p>
    <w:p>
      <w:r>
        <w:rPr>
          <w:b w:val="0"/>
          <w:i w:val="0"/>
        </w:rPr>
      </w:r>
      <w:r>
        <w:rPr>
          <w:b/>
          <w:i w:val="0"/>
        </w:rPr>
        <w:t>Fluxo normal.</w:t>
      </w:r>
      <w:r>
        <w:rPr>
          <w:b w:val="0"/>
          <w:i w:val="0"/>
        </w:rPr>
        <w:t xml:space="preserve"> «Trocar ISOP» inicia leitura, transformação, DQA, cálculo e gates em segundo plano. A interface envia a hipótese </w:t>
      </w:r>
      <w:r>
        <w:rPr>
          <w:b/>
          <w:i w:val="0"/>
        </w:rPr>
        <w:t>todas as máquinas livres em D0</w:t>
      </w:r>
      <w:r>
        <w:rPr>
          <w:b w:val="0"/>
          <w:i w:val="0"/>
        </w:rPr>
        <w:t xml:space="preserve"> e aprovação automática das exceções permitidas, atribuída a «sistema». Limpa fornecimentos comprometidos; não transporta automaticamente WIP/plano anterior. Mantém feriados, manutenção e bloqueios persistentes. O upload atual não exige confirmação humana individual desse pressuposto.</w:t>
      </w:r>
    </w:p>
    <w:p>
      <w:r>
        <w:rPr>
          <w:b w:val="0"/>
          <w:i w:val="0"/>
        </w:rPr>
      </w:r>
      <w:r>
        <w:rPr>
          <w:b/>
          <w:i w:val="0"/>
        </w:rPr>
        <w:t>Estados.</w:t>
      </w:r>
      <w:r>
        <w:rPr>
          <w:b w:val="0"/>
          <w:i w:val="0"/>
        </w:rPr>
        <w:t xml:space="preserve"> Preparação → fila → execução → aplicado, bloqueado, falhado ou cancelado. A API também suporta preparação/confirmação/aprovação separadas; pode devolver </w:t>
      </w:r>
      <w:r>
        <w:rPr>
          <w:rFonts w:ascii="Liberation Mono" w:hAnsi="Liberation Mono"/>
          <w:b w:val="0"/>
          <w:i w:val="0"/>
          <w:sz w:val="17"/>
        </w:rPr>
        <w:t>prepared</w:t>
      </w:r>
      <w:r>
        <w:rPr>
          <w:b w:val="0"/>
          <w:i w:val="0"/>
        </w:rPr>
        <w:t xml:space="preserve">, </w:t>
      </w:r>
      <w:r>
        <w:rPr>
          <w:rFonts w:ascii="Liberation Mono" w:hAnsi="Liberation Mono"/>
          <w:b w:val="0"/>
          <w:i w:val="0"/>
          <w:sz w:val="17"/>
        </w:rPr>
        <w:t>awaiting_approval</w:t>
      </w:r>
      <w:r>
        <w:rPr>
          <w:b w:val="0"/>
          <w:i w:val="0"/>
        </w:rPr>
        <w:t xml:space="preserve"> ou </w:t>
      </w:r>
      <w:r>
        <w:rPr>
          <w:rFonts w:ascii="Liberation Mono" w:hAnsi="Liberation Mono"/>
          <w:b w:val="0"/>
          <w:i w:val="0"/>
          <w:sz w:val="17"/>
        </w:rPr>
        <w:t>stale</w:t>
      </w:r>
      <w:r>
        <w:rPr>
          <w:b w:val="0"/>
          <w:i w:val="0"/>
        </w:rPr>
        <w:t xml:space="preserve"> quando a origem muda. Bloqueios físicos, de cobertura, material e sequência não podem ser aprovados.</w:t>
      </w:r>
    </w:p>
    <w:p>
      <w:r>
        <w:rPr>
          <w:b w:val="0"/>
          <w:i w:val="0"/>
        </w:rPr>
      </w:r>
      <w:r>
        <w:rPr>
          <w:b/>
          <w:i w:val="0"/>
        </w:rPr>
        <w:t>Recuperação.</w:t>
      </w:r>
      <w:r>
        <w:rPr>
          <w:b w:val="0"/>
          <w:i w:val="0"/>
        </w:rPr>
        <w:t xml:space="preserve"> Fechar/atualizar a página não cancela cálculo confirmado. «Ver plano atual» oculta acompanhamento; «Acompanhar carregamento» reabre-o. Cancelar impede aplicação posterior conforme o estado. Se houve aplicação mas falha visual, atualizar dados repete consultas, não a importação. Consultar o mesmo identificador antes de repetir pedidos.</w:t>
      </w:r>
    </w:p>
    <w:p>
      <w:bookmarkStart w:id="2" w:name="manual_2"/>
      <w:pPr>
        <w:pStyle w:val="Heading1"/>
        <w:pageBreakBefore/>
      </w:pPr>
      <w:r>
        <w:t>3. Calendário, capacidade e recursos</w:t>
      </w:r>
      <w:bookmarkEnd w:id="2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0"/>
        <w:gridCol w:w="6241"/>
      </w:tblGrid>
      <w:tr>
        <w:trPr>
          <w:cantSplit/>
          <w:tblHeader/>
        </w:trPr>
        <w:tc>
          <w:tcPr>
            <w:tcW w:type="dxa" w:w="351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Configuração atual</w:t>
            </w:r>
          </w:p>
        </w:tc>
        <w:tc>
          <w:tcPr>
            <w:tcW w:type="dxa" w:w="6241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Valor / regra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Turno A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07:00–15:30; 510 minutos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Turno B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15:30–23:50; 500 minutos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Capacidade diária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1 010 minutos; intervalos fora dos turnos não contam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Grandes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PRM019, PRM020, PRM031, PRM039, PRM043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Médias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PRM042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Operadores Grandes / Médias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A: 6 / 9; B: 5 / 4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Equipas de setup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Uma simultânea por grupo, independentes entre grupos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  <w:r>
        <w:rPr>
          <w:b/>
          <w:i w:val="0"/>
        </w:rPr>
        <w:t>Calendário.</w:t>
      </w:r>
      <w:r>
        <w:rPr>
          <w:b w:val="0"/>
          <w:i w:val="0"/>
        </w:rPr>
        <w:t xml:space="preserve"> Fim de semana fechado por defeito; dias extra podem abrir datas específicas. Feriado explícito prevalece sobre abertura extra. Máquina inativa/dia fechado têm capacidade zero. Turnos suportados pertencem ao mesmo dia.</w:t>
      </w:r>
    </w:p>
    <w:p>
      <w:pPr>
        <w:spacing w:before="140" w:after="200"/>
        <w:shd w:fill="EEF5F4"/>
      </w:pPr>
      <w:r>
        <w:rPr>
          <w:rFonts w:ascii="Liberation Mono" w:hAnsi="Liberation Mono"/>
          <w:sz w:val="17"/>
        </w:rPr>
        <w:t>Capacidade disponível = minutos abertos − indisponibilidade nesses minutos</w:t>
        <w:br/>
        <w:t>Carga = minutos de produção + minutos de setup</w:t>
        <w:br/>
        <w:t>Utilização (%) = carga / capacidade disponível × 100</w:t>
      </w:r>
    </w:p>
    <w:p>
      <w:r>
        <w:rPr>
          <w:b w:val="0"/>
          <w:i w:val="0"/>
        </w:rPr>
        <w:t xml:space="preserve">Exemplo: produção 700 + setup 60 em 1 010 disponíveis dão </w:t>
      </w:r>
      <w:r>
        <w:rPr>
          <w:b/>
          <w:i w:val="0"/>
        </w:rPr>
        <w:t>75,2%</w:t>
      </w:r>
      <w:r>
        <w:rPr>
          <w:b w:val="0"/>
          <w:i w:val="0"/>
        </w:rPr>
        <w:t xml:space="preserve">. Com manutenção de 200 minutos dentro do horário, ficam 810 e a utilização é </w:t>
      </w:r>
      <w:r>
        <w:rPr>
          <w:b/>
          <w:i w:val="0"/>
        </w:rPr>
        <w:t>93,8%</w:t>
      </w:r>
      <w:r>
        <w:rPr>
          <w:b w:val="0"/>
          <w:i w:val="0"/>
        </w:rPr>
        <w:t>. Não se multiplica capacidade por OEE novamente: já influencia a duração produtiva. Capacidade zero é fechada/indisponível.</w:t>
      </w:r>
    </w:p>
    <w:p>
      <w:r>
        <w:rPr>
          <w:b w:val="0"/>
          <w:i w:val="0"/>
        </w:rPr>
      </w:r>
      <w:r>
        <w:rPr>
          <w:b/>
          <w:i w:val="0"/>
        </w:rPr>
        <w:t>Bloqueios.</w:t>
      </w:r>
      <w:r>
        <w:rPr>
          <w:b w:val="0"/>
          <w:i w:val="0"/>
        </w:rPr>
        <w:t xml:space="preserve"> Máquina, ferramenta e operadores podem ter indisponibilidades com datas, categoria e motivo: avaria, manutenção, ensaio ou ausência. Conta a interseção com o horário aberto; sobreposições não duplicam minutos. Bloqueio de ferramenta acompanha-a para máquinas alternativas.</w:t>
      </w:r>
    </w:p>
    <w:p>
      <w:r>
        <w:rPr>
          <w:b w:val="0"/>
          <w:i w:val="0"/>
        </w:rPr>
      </w:r>
      <w:r>
        <w:rPr>
          <w:b/>
          <w:i w:val="0"/>
        </w:rPr>
        <w:t>Elegibilidade.</w:t>
      </w:r>
      <w:r>
        <w:rPr>
          <w:b w:val="0"/>
          <w:i w:val="0"/>
        </w:rPr>
        <w:t xml:space="preserve"> Só máquinas autorizadas executam a operação. Alternativa não cria outro molde: máquina e ferramenta não podem executar trabalhos incompatíveis simultaneamente. Transferir trabalho exige recalcular OEE, duração, setups e recursos.</w:t>
      </w:r>
    </w:p>
    <w:p>
      <w:r>
        <w:rPr>
          <w:b w:val="0"/>
          <w:i w:val="0"/>
        </w:rPr>
      </w:r>
      <w:r>
        <w:rPr>
          <w:b/>
          <w:i w:val="0"/>
        </w:rPr>
        <w:t>Pessoas.</w:t>
      </w:r>
      <w:r>
        <w:rPr>
          <w:b w:val="0"/>
          <w:i w:val="0"/>
        </w:rPr>
        <w:t xml:space="preserve"> Setup consome equipa de setup; produção consome operadores do grupo/turno. Insuficiência pode exigir aprovação e ação operacional; não demonstra ser possível produzir sem pessoas. Reduções de capacidade devem usar calendário/bloqueios: a validação rejeita capacidade específica de máquina ativa diferente da soma dos turnos.</w:t>
      </w:r>
    </w:p>
    <w:p>
      <w:bookmarkStart w:id="3" w:name="manual_3"/>
      <w:pPr>
        <w:pStyle w:val="Heading1"/>
        <w:pageBreakBefore/>
      </w:pPr>
      <w:r>
        <w:t>4. Lotes, OEE e coprodução</w:t>
      </w:r>
      <w:bookmarkEnd w:id="3"/>
    </w:p>
    <w:p>
      <w:r>
        <w:rPr>
          <w:b w:val="0"/>
          <w:i w:val="0"/>
        </w:rPr>
      </w:r>
      <w:r>
        <w:rPr>
          <w:b/>
          <w:i w:val="0"/>
        </w:rPr>
        <w:t>Dimensionamento.</w:t>
      </w:r>
      <w:r>
        <w:rPr>
          <w:b w:val="0"/>
          <w:i w:val="0"/>
        </w:rPr>
        <w:t xml:space="preserve"> Percorre necessidades datadas, usa excedentes anteriores e cria lotes. Correções por SKU podem alterar eco-lote, mínimos de quantidade/tempo, agrupamento, prioridade e buffers; distinguir origem ISOP do valor efetivo.</w:t>
      </w:r>
    </w:p>
    <w:p>
      <w:pPr>
        <w:spacing w:before="140" w:after="200"/>
        <w:shd w:fill="EEF5F4"/>
      </w:pPr>
      <w:r>
        <w:rPr>
          <w:rFonts w:ascii="Liberation Mono" w:hAnsi="Liberation Mono"/>
          <w:sz w:val="17"/>
        </w:rPr>
        <w:t>Quantidade = teto(necessidade ajustada / eco-lote) × eco-lote</w:t>
        <w:br/>
        <w:t>Cadência efetiva = peças/hora nominais × OEE efetivo</w:t>
        <w:br/>
        <w:t>Produção (min) = quantidade / cadência efetiva × 60</w:t>
        <w:br/>
        <w:t>Setup (min) = setup configurado em horas × 60</w:t>
      </w:r>
    </w:p>
    <w:p>
      <w:r>
        <w:rPr>
          <w:b w:val="0"/>
          <w:i w:val="0"/>
        </w:rPr>
        <w:t>Sem eco-lote positivo, mantém a quantidade solicitada. Necessidade 2 500 e eco-lote 1 000 originam 3 000 peças; as 500 excedentes cobrem procura posterior, não representam duplicação.</w:t>
      </w:r>
    </w:p>
    <w:p>
      <w:r>
        <w:rPr>
          <w:b w:val="0"/>
          <w:i w:val="0"/>
        </w:rPr>
      </w:r>
      <w:r>
        <w:rPr>
          <w:b/>
          <w:i w:val="0"/>
        </w:rPr>
        <w:t>OEE.</w:t>
      </w:r>
      <w:r>
        <w:rPr>
          <w:b w:val="0"/>
          <w:i w:val="0"/>
        </w:rPr>
        <w:t xml:space="preserve"> Fator configurado, não medição de eficiência real. Base </w:t>
      </w:r>
      <w:r>
        <w:rPr>
          <w:b/>
          <w:i w:val="0"/>
        </w:rPr>
        <w:t>0,66</w:t>
      </w:r>
      <w:r>
        <w:rPr>
          <w:b w:val="0"/>
          <w:i w:val="0"/>
        </w:rPr>
        <w:t xml:space="preserve">, com override por máquina. Exemplo: 2 400 peças a 1 200 peças/hora e OEE 0,66 requerem </w:t>
      </w:r>
      <w:r>
        <w:rPr>
          <w:b/>
          <w:i w:val="0"/>
        </w:rPr>
        <w:t>181,82 minutos</w:t>
      </w:r>
      <w:r>
        <w:rPr>
          <w:b w:val="0"/>
          <w:i w:val="0"/>
        </w:rPr>
        <w:t xml:space="preserve">; com 30 de setup, </w:t>
      </w:r>
      <w:r>
        <w:rPr>
          <w:b/>
          <w:i w:val="0"/>
        </w:rPr>
        <w:t>211,82 minutos</w:t>
      </w:r>
      <w:r>
        <w:rPr>
          <w:b w:val="0"/>
          <w:i w:val="0"/>
        </w:rPr>
        <w:t xml:space="preserve"> de carga. Mínimo produtivo atual: 1 minuto.</w:t>
      </w:r>
    </w:p>
    <w:p>
      <w:r>
        <w:rPr>
          <w:b w:val="0"/>
          <w:i w:val="0"/>
        </w:rPr>
      </w:r>
      <w:r>
        <w:rPr>
          <w:b/>
          <w:i w:val="0"/>
        </w:rPr>
        <w:t>Gémeas.</w:t>
      </w:r>
      <w:r>
        <w:rPr>
          <w:b w:val="0"/>
          <w:i w:val="0"/>
        </w:rPr>
        <w:t xml:space="preserve"> Um ciclo gera dois outputs 1:1. Eco-lotes efetivos têm de ser iguais. O emparelhamento admite necessidades até cinco índices diários de distância, não cinco dias úteis. Após arredondamento:</w:t>
      </w:r>
    </w:p>
    <w:p>
      <w:pPr>
        <w:spacing w:before="140" w:after="200"/>
        <w:shd w:fill="EEF5F4"/>
      </w:pPr>
      <w:r>
        <w:rPr>
          <w:rFonts w:ascii="Liberation Mono" w:hAnsi="Liberation Mono"/>
          <w:sz w:val="17"/>
        </w:rPr>
        <w:t>Quantidade comum = máximo(quantidade A, quantidade B)</w:t>
        <w:br/>
        <w:t>Tempo do ciclo = máximo(tempo A, tempo B), não a soma</w:t>
        <w:br/>
        <w:t>Setup comum = máximo(setup A, setup B), não a soma</w:t>
      </w:r>
    </w:p>
    <w:p>
      <w:r>
        <w:rPr>
          <w:b w:val="0"/>
          <w:i w:val="0"/>
        </w:rPr>
        <w:t>Ambos recebem a quantidade comum. Sem procura oposta elegível, o segundo output é stock coproduzido: cobre procura futura, mas não cria entrega fictícia. Se subcontratado, só fica disponível para cliente após o lead externo.</w:t>
      </w:r>
    </w:p>
    <w:p>
      <w:r>
        <w:rPr>
          <w:b w:val="0"/>
          <w:i w:val="0"/>
        </w:rPr>
      </w:r>
      <w:r>
        <w:rPr>
          <w:b/>
          <w:i w:val="0"/>
        </w:rPr>
        <w:t>Material das gémeas.</w:t>
      </w:r>
      <w:r>
        <w:rPr>
          <w:b w:val="0"/>
          <w:i w:val="0"/>
        </w:rPr>
        <w:t xml:space="preserve"> O lote físico partilha o release mais cedo dos outputs e o prazo produtivo mais cedo relevante. É regra de coprodução, não autorização para antecipar referências independentes.</w:t>
      </w:r>
    </w:p>
    <w:p>
      <w:r>
        <w:rPr>
          <w:b w:val="0"/>
          <w:i w:val="0"/>
        </w:rPr>
      </w:r>
      <w:r>
        <w:rPr>
          <w:b/>
          <w:i w:val="0"/>
        </w:rPr>
        <w:t>Conservação.</w:t>
      </w:r>
      <w:r>
        <w:rPr>
          <w:b w:val="0"/>
          <w:i w:val="0"/>
        </w:rPr>
        <w:t xml:space="preserve"> Dividir um lote em turnos/dias não altera quantidade; arredondamentos compensam-se no fragmento final. Validam-se segmentos contra lotes e lotes contra necessidades, incluindo gémeas. Omissões, duplicações ou excesso face aos lotes previstos bloqueiam aplicação, mesmo com bons indicadores.</w:t>
      </w:r>
    </w:p>
    <w:p>
      <w:bookmarkStart w:id="4" w:name="manual_4"/>
      <w:pPr>
        <w:pStyle w:val="Heading1"/>
        <w:pageBreakBefore/>
      </w:pPr>
      <w:r>
        <w:t>5. Setups, material e subcontratação</w:t>
      </w:r>
      <w:bookmarkEnd w:id="4"/>
    </w:p>
    <w:p>
      <w:r>
        <w:rPr>
          <w:b w:val="0"/>
          <w:i w:val="0"/>
        </w:rPr>
      </w:r>
      <w:r>
        <w:rPr>
          <w:b/>
          <w:i w:val="0"/>
        </w:rPr>
        <w:t>Afinação.</w:t>
      </w:r>
      <w:r>
        <w:rPr>
          <w:b w:val="0"/>
          <w:i w:val="0"/>
        </w:rPr>
        <w:t xml:space="preserve"> Independentes usam molde + SKU; gémeas confirmadas partilham ciclo; família explícita permite referências sucessivas com afinação comum. </w:t>
      </w:r>
      <w:r>
        <w:rPr>
          <w:b/>
          <w:i w:val="0"/>
        </w:rPr>
        <w:t>Mesmo molde não basta para dispensar setup.</w:t>
      </w:r>
      <w:r>
        <w:rPr>
          <w:b w:val="0"/>
          <w:i w:val="0"/>
        </w:rPr>
        <w:t xml:space="preserve"> Família não é coprodução. JDE002 está configurada para </w:t>
      </w:r>
      <w:r>
        <w:rPr>
          <w:rFonts w:ascii="Liberation Mono" w:hAnsi="Liberation Mono"/>
          <w:b w:val="0"/>
          <w:i w:val="0"/>
          <w:sz w:val="17"/>
        </w:rPr>
        <w:t>TP042173-0040-1</w:t>
      </w:r>
      <w:r>
        <w:rPr>
          <w:b w:val="0"/>
          <w:i w:val="0"/>
        </w:rPr>
        <w:t xml:space="preserve"> e </w:t>
      </w:r>
      <w:r>
        <w:rPr>
          <w:rFonts w:ascii="Liberation Mono" w:hAnsi="Liberation Mono"/>
          <w:b w:val="0"/>
          <w:i w:val="0"/>
          <w:sz w:val="17"/>
        </w:rPr>
        <w:t>TP042173-0060-2</w:t>
      </w:r>
      <w:r>
        <w:rPr>
          <w:b w:val="0"/>
          <w:i w:val="0"/>
        </w:rPr>
        <w:t>, não todas as referências do molde.</w:t>
      </w:r>
    </w:p>
    <w:p>
      <w:r>
        <w:rPr>
          <w:b w:val="0"/>
          <w:i w:val="0"/>
        </w:rPr>
        <w:t>O tempo segue exceção referência/máquina, depois ferramenta/operação e fallback de 0,5 h. Setup suficiente precede e permanece ligado à produção; outra ferramenta não pode intercalar-se. Turnos/noites/dias fechados não exigem automaticamente nova afinação. Setup isolado, posterior, duplicado ou desligado bloqueia aplicação.</w:t>
      </w:r>
    </w:p>
    <w:p>
      <w:r>
        <w:rPr>
          <w:b w:val="0"/>
          <w:i w:val="0"/>
        </w:rPr>
      </w:r>
      <w:r>
        <w:rPr>
          <w:b/>
          <w:i w:val="0"/>
        </w:rPr>
        <w:t>Material: invariante.</w:t>
      </w:r>
      <w:r>
        <w:rPr>
          <w:b w:val="0"/>
          <w:i w:val="0"/>
        </w:rPr>
        <w:t xml:space="preserve"> Antes de cinco dias úteis da referência de material, </w:t>
      </w:r>
      <w:r>
        <w:rPr>
          <w:b/>
          <w:i w:val="0"/>
        </w:rPr>
        <w:t>setup e produção são proibidos</w:t>
      </w:r>
      <w:r>
        <w:rPr>
          <w:b w:val="0"/>
          <w:i w:val="0"/>
        </w:rPr>
        <w:t>. Dentro da janela, ocupar o primeiro intervalo operacionalmente admissível. É restrição bloqueante, não preferência de scoring.</w:t>
      </w:r>
    </w:p>
    <w:p>
      <w:pPr>
        <w:spacing w:before="140" w:after="200"/>
        <w:shd w:fill="EEF5F4"/>
      </w:pPr>
      <w:r>
        <w:rPr>
          <w:rFonts w:ascii="Liberation Mono" w:hAnsi="Liberation Mono"/>
          <w:sz w:val="17"/>
        </w:rPr>
        <w:t>Artigo normal:</w:t>
        <w:br/>
        <w:t xml:space="preserve">  referência de material = entrega ao cliente</w:t>
        <w:br/>
        <w:t xml:space="preserve">  libertação = entrega − 5 dias úteis</w:t>
        <w:br/>
        <w:br/>
        <w:t>Artigo subcontratado:</w:t>
        <w:br/>
        <w:t xml:space="preserve">  envio = entrega − lead útil externo − buffer externo</w:t>
        <w:br/>
        <w:t xml:space="preserve">  referência de material = envio</w:t>
        <w:br/>
        <w:t xml:space="preserve">  libertação = envio − 5 dias úteis</w:t>
      </w:r>
    </w:p>
    <w:p>
      <w:r>
        <w:rPr>
          <w:b w:val="0"/>
          <w:i w:val="0"/>
        </w:rPr>
        <w:t>Fins de semana fechados/feriados não contam; aberturas extraordinárias afetam o calendário. Sem feriados, entrega à sexta-feira liberta material na sexta-feira anterior. Setup na quinta-feira anterior ao release é inválido, mesmo produzindo depois.</w:t>
      </w:r>
    </w:p>
    <w:p>
      <w:r>
        <w:rPr>
          <w:b w:val="0"/>
          <w:i w:val="0"/>
        </w:rPr>
      </w:r>
      <w:r>
        <w:rPr>
          <w:b/>
          <w:i w:val="0"/>
        </w:rPr>
        <w:t>Subcontratação.</w:t>
      </w:r>
      <w:r>
        <w:rPr>
          <w:b w:val="0"/>
          <w:i w:val="0"/>
        </w:rPr>
        <w:t xml:space="preserve"> Distinguir fim interno, envio e disponibilidade para cliente. Fornecedor genérico atual: </w:t>
      </w:r>
      <w:r>
        <w:rPr>
          <w:b/>
          <w:i w:val="0"/>
        </w:rPr>
        <w:t>5 dias úteis</w:t>
      </w:r>
      <w:r>
        <w:rPr>
          <w:b w:val="0"/>
          <w:i w:val="0"/>
        </w:rPr>
        <w:t xml:space="preserve"> de lead, buffer zero. Entrega à sexta-feira exige envio na anterior; o release recua mais cinco dias úteis. OTD/OTD-D usam disponibilidade após o lead, não apenas fim interno.</w:t>
      </w:r>
    </w:p>
    <w:p>
      <w:r>
        <w:rPr>
          <w:b w:val="0"/>
          <w:i w:val="0"/>
        </w:rPr>
        <w:t xml:space="preserve">A janela impõe limite inferior, não garante toda a carga até ao prazo. Pode existir atraso em </w:t>
      </w:r>
      <w:r>
        <w:rPr>
          <w:rFonts w:ascii="Liberation Mono" w:hAnsi="Liberation Mono"/>
          <w:b w:val="0"/>
          <w:i w:val="0"/>
          <w:sz w:val="17"/>
        </w:rPr>
        <w:t>best_effort</w:t>
      </w:r>
      <w:r>
        <w:rPr>
          <w:b w:val="0"/>
          <w:i w:val="0"/>
        </w:rPr>
        <w:t>, sem antecipar material. Release anterior a D0 conserva-se, mas não permite execução antes do horizonte. Buffers internos mudam objetivos, não a data comercial nem a autorização de material.</w:t>
      </w:r>
    </w:p>
    <w:p>
      <w:bookmarkStart w:id="5" w:name="manual_5"/>
      <w:pPr>
        <w:pStyle w:val="Heading1"/>
        <w:pageBreakBefore/>
      </w:pPr>
      <w:r>
        <w:t>6. Prioridades e espaços vazios</w:t>
      </w:r>
      <w:bookmarkEnd w:id="5"/>
    </w:p>
    <w:p>
      <w:r>
        <w:rPr>
          <w:b w:val="0"/>
          <w:i w:val="0"/>
        </w:rPr>
      </w:r>
      <w:r>
        <w:rPr>
          <w:b/>
          <w:i w:val="0"/>
        </w:rPr>
        <w:t>Regra funcional final:</w:t>
      </w:r>
      <w:r>
        <w:rPr>
          <w:b w:val="0"/>
          <w:i w:val="0"/>
        </w:rPr>
      </w:r>
    </w:p>
    <w:p>
      <w:pPr>
        <w:ind w:left="255" w:hanging="255"/>
      </w:pPr>
      <w:r>
        <w:t xml:space="preserve">1. </w:t>
      </w:r>
      <w:r>
        <w:rPr>
          <w:b w:val="0"/>
          <w:i w:val="0"/>
        </w:rPr>
        <w:t>Antes da janela dos cinco dias úteis: setup e produção proibidos.</w:t>
      </w:r>
    </w:p>
    <w:p>
      <w:pPr>
        <w:ind w:left="255" w:hanging="255"/>
      </w:pPr>
      <w:r>
        <w:t xml:space="preserve">2. </w:t>
      </w:r>
      <w:r>
        <w:rPr>
          <w:b w:val="0"/>
          <w:i w:val="0"/>
        </w:rPr>
        <w:t>Dentro da janela: produzir o mais cedo possível.</w:t>
      </w:r>
    </w:p>
    <w:p>
      <w:pPr>
        <w:ind w:left="255" w:hanging="255"/>
      </w:pPr>
      <w:r>
        <w:t xml:space="preserve">3. </w:t>
      </w:r>
      <w:r>
        <w:rPr>
          <w:b w:val="0"/>
          <w:i w:val="0"/>
        </w:rPr>
        <w:t>Um espaço vazio só permanece com razão operacional demonstrável.</w:t>
      </w:r>
    </w:p>
    <w:p>
      <w:pPr>
        <w:ind w:left="255" w:hanging="255"/>
      </w:pPr>
      <w:r>
        <w:t xml:space="preserve">4. </w:t>
      </w:r>
      <w:r>
        <w:rPr>
          <w:b w:val="0"/>
          <w:i w:val="0"/>
        </w:rPr>
      </w:r>
      <w:r>
        <w:rPr>
          <w:b/>
          <w:i w:val="0"/>
        </w:rPr>
        <w:t>OTD e OTD-D nunca pioram para tornar o plano visualmente mais compacto.</w:t>
      </w:r>
      <w:r>
        <w:rPr>
          <w:b w:val="0"/>
          <w:i w:val="0"/>
        </w:rPr>
      </w:r>
    </w:p>
    <w:p>
      <w:r>
        <w:rPr>
          <w:b w:val="0"/>
          <w:i w:val="0"/>
        </w:rPr>
      </w:r>
      <w:r>
        <w:rPr>
          <w:b/>
          <w:i w:val="0"/>
        </w:rPr>
        <w:t>Prioridade.</w:t>
      </w:r>
      <w:r>
        <w:rPr>
          <w:b w:val="0"/>
          <w:i w:val="0"/>
        </w:rPr>
        <w:t xml:space="preserve"> Considera prazo produtivo controlável, rutura, prioridade explícita e campanha. Subcontratação pode antecipar urgência face à entrega comercial. Existe prioridade 100 para </w:t>
      </w:r>
      <w:r>
        <w:rPr>
          <w:rFonts w:ascii="Liberation Mono" w:hAnsi="Liberation Mono"/>
          <w:b w:val="0"/>
          <w:i w:val="0"/>
          <w:sz w:val="17"/>
        </w:rPr>
        <w:t>TP042173-0040-2</w:t>
      </w:r>
      <w:r>
        <w:rPr>
          <w:b w:val="0"/>
          <w:i w:val="0"/>
        </w:rPr>
        <w:t>; não autoriza material antecipado nem conflito físico.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0"/>
        <w:gridCol w:w="6241"/>
      </w:tblGrid>
      <w:tr>
        <w:trPr>
          <w:cantSplit/>
          <w:tblHeader/>
        </w:trPr>
        <w:tc>
          <w:tcPr>
            <w:tcW w:type="dxa" w:w="351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Razão para um espaço</w:t>
            </w:r>
          </w:p>
        </w:tc>
        <w:tc>
          <w:tcPr>
            <w:tcW w:type="dxa" w:w="6241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Material não libertado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Release e lote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Fecho/indisponibilidade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Calendário, recurso, intervalo e motivo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Ferramenta/equipa ocupada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Ocupação concorrente e grupo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Operadores insuficientes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Turno, procura e disponibilidade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Prioridade / setup incompatível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Prazos e sequência física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Antecipação prejudica entregas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Indicadores antes/depois e compromissos afetados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Final de campanha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Elegibilidade e resultado validado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Procura-se antecipar lotes ou fragmentos, conservando quantidades, tempos e outputs; reavaliam-se oportunidades após movimentos. </w:t>
      </w:r>
      <w:r>
        <w:rPr>
          <w:rFonts w:ascii="Liberation Mono" w:hAnsi="Liberation Mono"/>
          <w:b w:val="0"/>
          <w:i w:val="0"/>
          <w:sz w:val="17"/>
        </w:rPr>
        <w:t>left_shift_opportunities</w:t>
      </w:r>
      <w:r>
        <w:rPr>
          <w:b w:val="0"/>
          <w:i w:val="0"/>
        </w:rPr>
        <w:t xml:space="preserve"> conta oportunidades acionáveis, não minutos vazios. Zero é ausência detetada na pesquisa, não prova de ótimo global.</w:t>
      </w:r>
    </w:p>
    <w:p>
      <w:r>
        <w:rPr>
          <w:b w:val="0"/>
          <w:i w:val="0"/>
        </w:rPr>
      </w:r>
      <w:r>
        <w:rPr>
          <w:b/>
          <w:i w:val="0"/>
        </w:rPr>
        <w:t>Exceção de campanha.</w:t>
      </w:r>
      <w:r>
        <w:rPr>
          <w:b w:val="0"/>
          <w:i w:val="0"/>
        </w:rPr>
        <w:t xml:space="preserve"> Produção curta associada a família confirmada pode passar para o último turno do dia final da campanha longa. Limite normal: 40% desse turno, atualmente 200 minutos, sem aumentar setups. Pode manter espaço anterior por decisão operacional, não impossibilidade física. Um ramo limitado para plano incompleto preserva percentuais protegidos, mas admite até +1 dia de atraso agregado, +1 dia útil produtivo e aumento limitado do défice, com aviso.</w:t>
      </w:r>
    </w:p>
    <w:p>
      <w:r>
        <w:rPr>
          <w:b w:val="0"/>
          <w:i w:val="0"/>
        </w:rPr>
      </w:r>
      <w:r>
        <w:rPr>
          <w:b/>
          <w:i w:val="0"/>
        </w:rPr>
        <w:t>Diferença atual.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delivery_not_worse</w:t>
      </w:r>
      <w:r>
        <w:rPr>
          <w:b w:val="0"/>
          <w:i w:val="0"/>
        </w:rPr>
        <w:t xml:space="preserve"> compara indicadores lexicograficamente: melhorar uma prioridade anterior pode compensar piorar outra. Preenchimento canónico de gaps e normalização de prioridades não acrescentam guardas independentes de OTD/OTD-D. A regra final acima é o requisito; </w:t>
      </w:r>
      <w:r>
        <w:rPr>
          <w:b/>
          <w:i w:val="0"/>
        </w:rPr>
        <w:t>a proteção individual ainda não está explicitamente garantida em todos esses caminhos</w:t>
      </w:r>
      <w:r>
        <w:rPr>
          <w:b w:val="0"/>
          <w:i w:val="0"/>
        </w:rPr>
        <w:t>. O manual documenta, não altera o algoritmo.</w:t>
      </w:r>
    </w:p>
    <w:p>
      <w:bookmarkStart w:id="6" w:name="manual_6"/>
      <w:pPr>
        <w:pStyle w:val="Heading1"/>
        <w:pageBreakBefore/>
      </w:pPr>
      <w:r>
        <w:t>7. OTD: entregas por lote</w:t>
      </w:r>
      <w:bookmarkEnd w:id="6"/>
    </w:p>
    <w:p>
      <w:r>
        <w:rPr>
          <w:b w:val="0"/>
          <w:i w:val="0"/>
        </w:rPr>
      </w:r>
      <w:r>
        <w:rPr>
          <w:b/>
          <w:i w:val="0"/>
        </w:rPr>
        <w:t>Cálculo para artigos normais:</w:t>
      </w:r>
      <w:r>
        <w:rPr>
          <w:b w:val="0"/>
          <w:i w:val="0"/>
        </w:rPr>
      </w:r>
    </w:p>
    <w:p>
      <w:pPr>
        <w:ind w:left="255" w:hanging="255"/>
      </w:pPr>
      <w:r>
        <w:t xml:space="preserve">1. </w:t>
      </w:r>
      <w:r>
        <w:rPr>
          <w:b w:val="0"/>
          <w:i w:val="0"/>
        </w:rPr>
        <w:t>Divide as necessidades ISOP em lotes de produção.</w:t>
      </w:r>
    </w:p>
    <w:p>
      <w:pPr>
        <w:ind w:left="255" w:hanging="255"/>
      </w:pPr>
      <w:r>
        <w:t xml:space="preserve">2. </w:t>
      </w:r>
      <w:r>
        <w:rPr>
          <w:b w:val="0"/>
          <w:i w:val="0"/>
        </w:rPr>
        <w:t>Para cada lote, procura o último dia com produção desse lote.</w:t>
      </w:r>
    </w:p>
    <w:p>
      <w:pPr>
        <w:ind w:left="255" w:hanging="255"/>
      </w:pPr>
      <w:r>
        <w:t xml:space="preserve">3. </w:t>
      </w:r>
      <w:r>
        <w:rPr>
          <w:b w:val="0"/>
          <w:i w:val="0"/>
        </w:rPr>
        <w:t>Compara-o com a data comercial de entrega/expedição associada.</w:t>
      </w:r>
    </w:p>
    <w:p>
      <w:pPr>
        <w:ind w:left="255" w:hanging="255"/>
      </w:pPr>
      <w:r>
        <w:t xml:space="preserve">4. </w:t>
      </w:r>
      <w:r>
        <w:rPr>
          <w:b w:val="0"/>
          <w:i w:val="0"/>
        </w:rPr>
        <w:t>Terminando no próprio dia ou antes, está a tempo.</w:t>
      </w:r>
    </w:p>
    <w:p>
      <w:pPr>
        <w:ind w:left="255" w:hanging="255"/>
      </w:pPr>
      <w:r>
        <w:t xml:space="preserve">5. </w:t>
      </w:r>
      <w:r>
        <w:rPr>
          <w:b w:val="0"/>
          <w:i w:val="0"/>
        </w:rPr>
        <w:t>Terminando depois, está atrasado.</w:t>
      </w:r>
    </w:p>
    <w:p>
      <w:pPr>
        <w:spacing w:before="140" w:after="200"/>
        <w:shd w:fill="EEF5F4"/>
      </w:pPr>
      <w:r>
        <w:rPr>
          <w:rFonts w:ascii="Liberation Mono" w:hAnsi="Liberation Mono"/>
          <w:sz w:val="17"/>
        </w:rPr>
        <w:t>OTD (%) = lotes concluídos a tempo / total de lotes × 100</w:t>
        <w:br/>
        <w:t xml:space="preserve">        = (1 − lotes atrasados / total de lotes) × 100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45"/>
        <w:gridCol w:w="2340"/>
        <w:gridCol w:w="2243"/>
        <w:gridCol w:w="3023"/>
      </w:tblGrid>
      <w:tr>
        <w:trPr>
          <w:cantSplit/>
          <w:tblHeader/>
        </w:trPr>
        <w:tc>
          <w:tcPr>
            <w:tcW w:type="dxa" w:w="2145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Lote</w:t>
            </w:r>
          </w:p>
        </w:tc>
        <w:tc>
          <w:tcPr>
            <w:tcW w:type="dxa" w:w="234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Entrega</w:t>
            </w:r>
          </w:p>
        </w:tc>
        <w:tc>
          <w:tcPr>
            <w:tcW w:type="dxa" w:w="2243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Conclusão</w:t>
            </w:r>
          </w:p>
        </w:tc>
        <w:tc>
          <w:tcPr>
            <w:tcW w:type="dxa" w:w="3023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145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L1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09-Out</w:t>
            </w:r>
          </w:p>
        </w:tc>
        <w:tc>
          <w:tcPr>
            <w:tcW w:type="dxa" w:w="2243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08-Out</w:t>
            </w:r>
          </w:p>
        </w:tc>
        <w:tc>
          <w:tcPr>
            <w:tcW w:type="dxa" w:w="3023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 tempo</w:t>
            </w:r>
          </w:p>
        </w:tc>
      </w:tr>
      <w:tr>
        <w:trPr>
          <w:cantSplit/>
        </w:trPr>
        <w:tc>
          <w:tcPr>
            <w:tcW w:type="dxa" w:w="2145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L2</w:t>
            </w:r>
          </w:p>
        </w:tc>
        <w:tc>
          <w:tcPr>
            <w:tcW w:type="dxa" w:w="234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09-Out</w:t>
            </w:r>
          </w:p>
        </w:tc>
        <w:tc>
          <w:tcPr>
            <w:tcW w:type="dxa" w:w="2243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09-Out</w:t>
            </w:r>
          </w:p>
        </w:tc>
        <w:tc>
          <w:tcPr>
            <w:tcW w:type="dxa" w:w="3023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 tempo</w:t>
            </w:r>
          </w:p>
        </w:tc>
      </w:tr>
      <w:tr>
        <w:trPr>
          <w:cantSplit/>
        </w:trPr>
        <w:tc>
          <w:tcPr>
            <w:tcW w:type="dxa" w:w="2145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L3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09-Out</w:t>
            </w:r>
          </w:p>
        </w:tc>
        <w:tc>
          <w:tcPr>
            <w:tcW w:type="dxa" w:w="2243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12-Out</w:t>
            </w:r>
          </w:p>
        </w:tc>
        <w:tc>
          <w:tcPr>
            <w:tcW w:type="dxa" w:w="3023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Atrasado</w:t>
            </w:r>
          </w:p>
        </w:tc>
      </w:tr>
      <w:tr>
        <w:trPr>
          <w:cantSplit/>
        </w:trPr>
        <w:tc>
          <w:tcPr>
            <w:tcW w:type="dxa" w:w="2145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L4</w:t>
            </w:r>
          </w:p>
        </w:tc>
        <w:tc>
          <w:tcPr>
            <w:tcW w:type="dxa" w:w="234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12-Out</w:t>
            </w:r>
          </w:p>
        </w:tc>
        <w:tc>
          <w:tcPr>
            <w:tcW w:type="dxa" w:w="2243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09-Out</w:t>
            </w:r>
          </w:p>
        </w:tc>
        <w:tc>
          <w:tcPr>
            <w:tcW w:type="dxa" w:w="3023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 tempo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Neste exemplo: </w:t>
      </w:r>
      <w:r>
        <w:rPr>
          <w:b/>
          <w:i w:val="0"/>
        </w:rPr>
        <w:t>OTD = 3 / 4 × 100 = 75,0%</w:t>
      </w:r>
      <w:r>
        <w:rPr>
          <w:b w:val="0"/>
          <w:i w:val="0"/>
        </w:rPr>
        <w:t>.</w:t>
      </w:r>
    </w:p>
    <w:p>
      <w:r>
        <w:rPr>
          <w:b w:val="0"/>
          <w:i w:val="0"/>
        </w:rPr>
      </w:r>
      <w:r>
        <w:rPr>
          <w:b/>
          <w:i w:val="0"/>
        </w:rPr>
        <w:t>Unidade.</w:t>
      </w:r>
      <w:r>
        <w:rPr>
          <w:b w:val="0"/>
          <w:i w:val="0"/>
        </w:rPr>
        <w:t xml:space="preserve"> Todos os lotes têm o mesmo peso, independentemente de peças/faturação. Um lote de 100 e outro de 100 000 peças contam uma vez cada. Uma referência com vários lotes conta várias vezes; fragmentar segmentos não aumenta o denominador. Arredondamento: uma casa decimal.</w:t>
      </w:r>
    </w:p>
    <w:p>
      <w:r>
        <w:rPr>
          <w:b w:val="0"/>
          <w:i w:val="0"/>
        </w:rPr>
      </w:r>
      <w:r>
        <w:rPr>
          <w:b/>
          <w:i w:val="0"/>
        </w:rPr>
        <w:t>Dia, não hora do camião.</w:t>
      </w:r>
      <w:r>
        <w:rPr>
          <w:b w:val="0"/>
          <w:i w:val="0"/>
        </w:rPr>
        <w:t xml:space="preserve"> Terminar no dia da entrega conta como pontual; não garante uma hora de corte nesse dia. Um segmento apenas de setup não conclui o lote.</w:t>
      </w:r>
    </w:p>
    <w:p>
      <w:r>
        <w:rPr>
          <w:b w:val="0"/>
          <w:i w:val="0"/>
        </w:rPr>
      </w:r>
      <w:r>
        <w:rPr>
          <w:b/>
          <w:i w:val="0"/>
        </w:rPr>
        <w:t>Subcontratação.</w:t>
      </w:r>
      <w:r>
        <w:rPr>
          <w:b w:val="0"/>
          <w:i w:val="0"/>
        </w:rPr>
        <w:t xml:space="preserve"> A conclusão relevante inclui lead útil externo até disponibilidade para cliente. Terminar internamente na data comercial pode já ser atraso; envio externo tem acompanhamento próprio.</w:t>
      </w:r>
    </w:p>
    <w:p>
      <w:r>
        <w:rPr>
          <w:b w:val="0"/>
          <w:i w:val="0"/>
        </w:rPr>
      </w:r>
      <w:r>
        <w:rPr>
          <w:b/>
          <w:i w:val="0"/>
        </w:rPr>
        <w:t>Gémeas.</w:t>
      </w:r>
      <w:r>
        <w:rPr>
          <w:b w:val="0"/>
          <w:i w:val="0"/>
        </w:rPr>
        <w:t xml:space="preserve"> Avaliam-se outputs com necessidade comercial; basta um atrasado para o lote contar como atrasado. Stock coproduzido sem entrega não cria compromisso fictício.</w:t>
      </w:r>
    </w:p>
    <w:p>
      <w:r>
        <w:rPr>
          <w:b w:val="0"/>
          <w:i w:val="0"/>
        </w:rPr>
      </w:r>
      <w:r>
        <w:rPr>
          <w:b/>
          <w:i w:val="0"/>
        </w:rPr>
        <w:t>Cobertura separada.</w:t>
      </w:r>
      <w:r>
        <w:rPr>
          <w:b w:val="0"/>
          <w:i w:val="0"/>
        </w:rPr>
        <w:t xml:space="preserve"> Sem lotes, a fórmula devolve 100%, significando ausência de elementos a avaliar. Lotes/quantidades omitidos são verificados separadamente e bloqueiam. Uma percentagem arredondada de 100,0% não dispensa conferir contadores de falhas.</w:t>
      </w:r>
    </w:p>
    <w:p>
      <w:bookmarkStart w:id="7" w:name="manual_7"/>
      <w:pPr>
        <w:pStyle w:val="Heading1"/>
        <w:pageBreakBefore/>
      </w:pPr>
      <w:r>
        <w:t>8. OTD-D, stock e outras métricas</w:t>
      </w:r>
      <w:bookmarkEnd w:id="7"/>
    </w:p>
    <w:p>
      <w:r>
        <w:rPr>
          <w:b w:val="0"/>
          <w:i w:val="0"/>
        </w:rPr>
      </w:r>
      <w:r>
        <w:rPr>
          <w:b/>
          <w:i w:val="0"/>
        </w:rPr>
        <w:t>OTD-D mede checkpoints, não peças.</w:t>
      </w:r>
      <w:r>
        <w:rPr>
          <w:b w:val="0"/>
          <w:i w:val="0"/>
        </w:rPr>
        <w:t xml:space="preserve"> Para cada operação/dia com necessidade positiva, compara disponibilidade acumulada com necessidade acumulada. Dias sem necessidade não criam checkpoints; a produção nesses dias pode cobrir procura futura.</w:t>
      </w:r>
    </w:p>
    <w:p>
      <w:pPr>
        <w:spacing w:before="140" w:after="200"/>
        <w:shd w:fill="EEF5F4"/>
      </w:pPr>
      <w:r>
        <w:rPr>
          <w:rFonts w:ascii="Liberation Mono" w:hAnsi="Liberation Mono"/>
          <w:sz w:val="17"/>
        </w:rPr>
        <w:t>Checkpoint = operação + dia com necessidade positiva</w:t>
        <w:br/>
        <w:t>Cumprido se disponível acumulado &gt;= necessidade acumulada</w:t>
        <w:br/>
        <w:t>OTD-D (%) = checkpoints cumpridos / total de checkpoints × 100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45"/>
        <w:gridCol w:w="2340"/>
        <w:gridCol w:w="2243"/>
        <w:gridCol w:w="3023"/>
      </w:tblGrid>
      <w:tr>
        <w:trPr>
          <w:cantSplit/>
          <w:tblHeader/>
        </w:trPr>
        <w:tc>
          <w:tcPr>
            <w:tcW w:type="dxa" w:w="2145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Checkpoint</w:t>
            </w:r>
          </w:p>
        </w:tc>
        <w:tc>
          <w:tcPr>
            <w:tcW w:type="dxa" w:w="234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Necessidade acumulada</w:t>
            </w:r>
          </w:p>
        </w:tc>
        <w:tc>
          <w:tcPr>
            <w:tcW w:type="dxa" w:w="2243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Disponível</w:t>
            </w:r>
          </w:p>
        </w:tc>
        <w:tc>
          <w:tcPr>
            <w:tcW w:type="dxa" w:w="3023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145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A, dia 1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2243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3023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Cumprido</w:t>
            </w:r>
          </w:p>
        </w:tc>
      </w:tr>
      <w:tr>
        <w:trPr>
          <w:cantSplit/>
        </w:trPr>
        <w:tc>
          <w:tcPr>
            <w:tcW w:type="dxa" w:w="2145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A, dia 2</w:t>
            </w:r>
          </w:p>
        </w:tc>
        <w:tc>
          <w:tcPr>
            <w:tcW w:type="dxa" w:w="234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2243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150</w:t>
            </w:r>
          </w:p>
        </w:tc>
        <w:tc>
          <w:tcPr>
            <w:tcW w:type="dxa" w:w="3023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Falha de 50</w:t>
            </w:r>
          </w:p>
        </w:tc>
      </w:tr>
      <w:tr>
        <w:trPr>
          <w:cantSplit/>
        </w:trPr>
        <w:tc>
          <w:tcPr>
            <w:tcW w:type="dxa" w:w="2145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A, dia 3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300</w:t>
            </w:r>
          </w:p>
        </w:tc>
        <w:tc>
          <w:tcPr>
            <w:tcW w:type="dxa" w:w="2243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300</w:t>
            </w:r>
          </w:p>
        </w:tc>
        <w:tc>
          <w:tcPr>
            <w:tcW w:type="dxa" w:w="3023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Cumprido</w:t>
            </w:r>
          </w:p>
        </w:tc>
      </w:tr>
      <w:tr>
        <w:trPr>
          <w:cantSplit/>
        </w:trPr>
        <w:tc>
          <w:tcPr>
            <w:tcW w:type="dxa" w:w="2145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B, dia 3</w:t>
            </w:r>
          </w:p>
        </w:tc>
        <w:tc>
          <w:tcPr>
            <w:tcW w:type="dxa" w:w="234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2243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3023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Cumprido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  <w:r>
        <w:rPr>
          <w:b/>
          <w:i w:val="0"/>
        </w:rPr>
        <w:t>OTD-D = 75,0%.</w:t>
      </w:r>
      <w:r>
        <w:rPr>
          <w:b w:val="0"/>
          <w:i w:val="0"/>
        </w:rPr>
        <w:t xml:space="preserve"> Recuperar no dia 3 não apaga a falha do dia 2. Usa NP líquida sem somar novamente stock inicial. Fornecimentos comprometidos entram no respetivo dia; gémeas na operação correta; subcontratação após lead útil. Arredonda a uma casa decimal, entre 0 e 100%.</w:t>
      </w:r>
    </w:p>
    <w:p>
      <w:r>
        <w:rPr>
          <w:b w:val="0"/>
          <w:i w:val="0"/>
        </w:rPr>
      </w:r>
      <w:r>
        <w:rPr>
          <w:b/>
          <w:i w:val="0"/>
        </w:rPr>
        <w:t>Diferença.</w:t>
      </w:r>
      <w:r>
        <w:rPr>
          <w:b w:val="0"/>
          <w:i w:val="0"/>
        </w:rPr>
        <w:t xml:space="preserve"> OTD exige terminar o lote; OTD-D pode reconhecer produção parcial. Um lote pode cobrir várias datas. OTD-D não é percentagem de peças ou encomendas prontas.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0"/>
        <w:gridCol w:w="6241"/>
      </w:tblGrid>
      <w:tr>
        <w:trPr>
          <w:cantSplit/>
          <w:tblHeader/>
        </w:trPr>
        <w:tc>
          <w:tcPr>
            <w:tcW w:type="dxa" w:w="351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6241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Leitura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tardy_count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Número de lotes atrasados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total_tardiness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max_tardiness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Soma / máximo em índices diários, normalmente dias corridos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production_due_misses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Lotes após o prazo produtivo controlável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production_due_late_workdays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Atraso produtivo agregado em dias úteis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subcontract_dispatch_misses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Outputs comerciais com envio externo atrasado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otd_d_cumulative_shortfall_qty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Soma de défices nos checkpoints; pode repetir a mesma falta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otd_d_final_shortfall_qty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Défice que resta no final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  <w:r>
        <w:rPr>
          <w:b/>
          <w:i w:val="0"/>
        </w:rPr>
        <w:t>Stock projetado</w:t>
      </w:r>
      <w:r>
        <w:rPr>
          <w:b w:val="0"/>
          <w:i w:val="0"/>
        </w:rPr>
        <w:t xml:space="preserve"> = disponibilidade acumulada − necessidade líquida acumulada. Negativo é rutura prevista, não contagem física. Entregas distribui peças cronologicamente sem prometer as mesmas a vários clientes. Setups contam campanhas com preparação positiva; tempo de setup soma minutos dos segmentos.</w:t>
      </w:r>
    </w:p>
    <w:p>
      <w:bookmarkStart w:id="8" w:name="manual_8"/>
      <w:pPr>
        <w:pStyle w:val="Heading1"/>
        <w:pageBreakBefore/>
      </w:pPr>
      <w:r>
        <w:t>9. Qualidade, gates e robustez</w:t>
      </w:r>
      <w:bookmarkEnd w:id="8"/>
    </w:p>
    <w:p>
      <w:r>
        <w:rPr>
          <w:b w:val="0"/>
          <w:i w:val="0"/>
        </w:rPr>
      </w:r>
      <w:r>
        <w:rPr>
          <w:b/>
          <w:i w:val="0"/>
        </w:rPr>
        <w:t>Trust Index.</w:t>
      </w:r>
      <w:r>
        <w:rPr>
          <w:b w:val="0"/>
          <w:i w:val="0"/>
        </w:rPr>
        <w:t xml:space="preserve"> Qualidade da entrada: completude 25%, validade 30%, consistência 25%, riqueza 20%. Recomenda automação total ≥90; monitorização 70–89; sugestão 50–69; manual &lt;50. Não é OTD nem certificação do Excel: alguns fallbacks precedem a avaliação.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0"/>
        <w:gridCol w:w="6241"/>
      </w:tblGrid>
      <w:tr>
        <w:trPr>
          <w:cantSplit/>
          <w:tblHeader/>
        </w:trPr>
        <w:tc>
          <w:tcPr>
            <w:tcW w:type="dxa" w:w="351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6241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Efeito da falha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Física: máquina, molde, equipa, calendário, elegibilidade e setup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Bloqueia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Cobertura: lotes, origem ISOP, quantidades e gémeas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Bloqueia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Material: setup ou produção antes do release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Bloqueia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Sequência: oportunidades acionáveis e inversões/interrupções reparáveis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Bloqueia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Entrega: OTD/OTD-D 100%, zero atrasados e zero checkpoints falhados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Exige aprovação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Envio externo, operadores ou produção longa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Exige aprovação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Robustez ausente ou abaixo de 95%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Exige aprovação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  <w:r>
        <w:rPr>
          <w:b/>
          <w:i w:val="0"/>
        </w:rPr>
        <w:t>Decisões.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auto_applicable</w:t>
      </w:r>
      <w:r>
        <w:rPr>
          <w:b w:val="0"/>
          <w:i w:val="0"/>
        </w:rPr>
        <w:t xml:space="preserve">: pode aplicar; </w:t>
      </w:r>
      <w:r>
        <w:rPr>
          <w:rFonts w:ascii="Liberation Mono" w:hAnsi="Liberation Mono"/>
          <w:b w:val="0"/>
          <w:i w:val="0"/>
          <w:sz w:val="17"/>
        </w:rPr>
        <w:t>approval_required</w:t>
      </w:r>
      <w:r>
        <w:rPr>
          <w:b w:val="0"/>
          <w:i w:val="0"/>
        </w:rPr>
        <w:t xml:space="preserve">: admite exceções; </w:t>
      </w:r>
      <w:r>
        <w:rPr>
          <w:rFonts w:ascii="Liberation Mono" w:hAnsi="Liberation Mono"/>
          <w:b w:val="0"/>
          <w:i w:val="0"/>
          <w:sz w:val="17"/>
        </w:rPr>
        <w:t>blocked</w:t>
      </w:r>
      <w:r>
        <w:rPr>
          <w:b w:val="0"/>
          <w:i w:val="0"/>
        </w:rPr>
        <w:t xml:space="preserve">: não aplica. Aprovar risco comercial não permite sobreposição, falta de quantidade ou material antecipado. </w:t>
      </w:r>
      <w:r>
        <w:rPr>
          <w:rFonts w:ascii="Liberation Mono" w:hAnsi="Liberation Mono"/>
          <w:b w:val="0"/>
          <w:i w:val="0"/>
          <w:sz w:val="17"/>
        </w:rPr>
        <w:t>best_effort</w:t>
      </w:r>
      <w:r>
        <w:rPr>
          <w:b w:val="0"/>
          <w:i w:val="0"/>
        </w:rPr>
        <w:t xml:space="preserve"> é melhor plano admissível encontrado, não ótimo/todas as entregas cumpridas. Aprovação associa motivo, autor, candidato e revisão.</w:t>
      </w:r>
    </w:p>
    <w:p>
      <w:r>
        <w:rPr>
          <w:b w:val="0"/>
          <w:i w:val="0"/>
        </w:rPr>
      </w:r>
      <w:r>
        <w:rPr>
          <w:b/>
          <w:i w:val="0"/>
        </w:rPr>
        <w:t>Produção longa.</w:t>
      </w:r>
      <w:r>
        <w:rPr>
          <w:b w:val="0"/>
          <w:i w:val="0"/>
        </w:rPr>
        <w:t xml:space="preserve"> Verifica lotes com índices diários consecutivos de produção superiores a </w:t>
      </w:r>
      <w:r>
        <w:rPr>
          <w:rFonts w:ascii="Liberation Mono" w:hAnsi="Liberation Mono"/>
          <w:b w:val="0"/>
          <w:i w:val="0"/>
          <w:sz w:val="17"/>
        </w:rPr>
        <w:t>max_run_days</w:t>
      </w:r>
      <w:r>
        <w:rPr>
          <w:b w:val="0"/>
          <w:i w:val="0"/>
        </w:rPr>
        <w:t>, atualmente 4. Fim de semana sem produção interrompe a sequência; não é duração total da campanha nem quatro dias úteis consecutivos.</w:t>
      </w:r>
    </w:p>
    <w:p>
      <w:r>
        <w:rPr>
          <w:b w:val="0"/>
          <w:i w:val="0"/>
        </w:rPr>
      </w:r>
      <w:r>
        <w:rPr>
          <w:b/>
          <w:i w:val="0"/>
        </w:rPr>
        <w:t>Robustez.</w:t>
      </w:r>
      <w:r>
        <w:rPr>
          <w:b w:val="0"/>
          <w:i w:val="0"/>
        </w:rPr>
        <w:t xml:space="preserve"> Reproduz plano fixo sob perturbações, sem reotimizar cada amostra. Perfis de 100, 500 ou 2 000 amostras. Sucesso = cenário com zero lotes atrasados; probabilidade = sucessos / cenários concluídos × 100. Não implica OTD-D 100% nem aprovação de todos os gates.</w:t>
      </w:r>
    </w:p>
    <w:p>
      <w:r>
        <w:rPr>
          <w:b w:val="0"/>
          <w:i w:val="0"/>
        </w:rPr>
        <w:t>«OTD P95» é Q5 do OTD, a cauda inferior; «atrasados P95» é Q95 da contagem, podendo ser fracionário. CVaR95 é média dos atrasos totais a partir de Q95, incluindo empates; não são intervalos de confiança. CPO usa 100 amostras no gate; avaliações independentes de 500/2 000 não atualizam automaticamente esse gate. Confirmar a revisão avaliada.</w:t>
      </w:r>
    </w:p>
    <w:p>
      <w:bookmarkStart w:id="9" w:name="manual_9"/>
      <w:pPr>
        <w:pStyle w:val="Heading1"/>
        <w:pageBreakBefore/>
      </w:pPr>
      <w:r>
        <w:t>10. Ecrãs: Hoje e Plano</w:t>
      </w:r>
      <w:bookmarkEnd w:id="9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4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la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Plano: sequência por máquina, datas, validações e comandos. Dados exemplificativos de 16-09-2026.</w:t>
      </w:r>
    </w:p>
    <w:p>
      <w:r>
        <w:rPr>
          <w:b w:val="0"/>
          <w:i w:val="0"/>
        </w:rPr>
      </w:r>
      <w:r>
        <w:rPr>
          <w:b/>
          <w:i w:val="0"/>
        </w:rPr>
        <w:t>Navegação.</w:t>
      </w:r>
      <w:r>
        <w:rPr>
          <w:b w:val="0"/>
          <w:i w:val="0"/>
        </w:rPr>
        <w:t xml:space="preserve"> Hoje, Plano, Carga e capacidade, Entregas, Risco e Configuração. Cabeçalho: ISOP, indicadores, trocar ficheiro, atualizar consultas, recalcular e Copilot. Indicadores abrem Entregas sem filtro específico. Recalcular fica indisponível durante cenário simulado ativo.</w:t>
      </w:r>
    </w:p>
    <w:p>
      <w:r>
        <w:rPr>
          <w:b w:val="0"/>
          <w:i w:val="0"/>
        </w:rPr>
      </w:r>
      <w:r>
        <w:rPr>
          <w:b/>
          <w:i w:val="0"/>
        </w:rPr>
        <w:t>Hoje.</w:t>
      </w:r>
      <w:r>
        <w:rPr>
          <w:b w:val="0"/>
          <w:i w:val="0"/>
        </w:rPr>
        <w:t xml:space="preserve"> Navega por dia; mostra estado, máquinas, ocupação, produção, setups atuais/seguintes, indisponibilidades, expedições e riscos com «Abrir no plano». «Agora» e fim previsto usam calendário/data, não execução confirmada.</w:t>
      </w:r>
    </w:p>
    <w:p>
      <w:r>
        <w:rPr>
          <w:b w:val="0"/>
          <w:i w:val="0"/>
        </w:rPr>
      </w:r>
      <w:r>
        <w:rPr>
          <w:b/>
          <w:i w:val="0"/>
        </w:rPr>
        <w:t>Plano.</w:t>
      </w:r>
      <w:r>
        <w:rPr>
          <w:b w:val="0"/>
          <w:i w:val="0"/>
        </w:rPr>
        <w:t xml:space="preserve"> Gantt/Tabela; pesquisa, máquina, inativas, zoom 50–300%, períodos, turnos e navegação temporal. Gates, cores por ferramenta, setup, bloqueios e marcos. Selecionar abre detalhe: quantidades, tempo, material, envio e explicação. A tabela permite ordenar/pesquisar; quantidade do segmento não é total do lote.</w:t>
      </w:r>
    </w:p>
    <w:p>
      <w:r>
        <w:rPr>
          <w:b w:val="0"/>
          <w:i w:val="0"/>
        </w:rPr>
      </w:r>
      <w:r>
        <w:rPr>
          <w:b/>
          <w:i w:val="0"/>
        </w:rPr>
        <w:t>Ações.</w:t>
      </w:r>
      <w:r>
        <w:rPr>
          <w:b w:val="0"/>
          <w:i w:val="0"/>
        </w:rPr>
        <w:t xml:space="preserve"> CSV, versões em Planos, mover produção e Simular alterações. CSV respeita datas, não todos os filtros, e inclui KPIs globais. Banners identificam cenário/edição manual; reverter depende de estado anterior recuperável. Editar/Consulta limita comandos, mas </w:t>
      </w:r>
      <w:r>
        <w:rPr>
          <w:b/>
          <w:i w:val="0"/>
        </w:rPr>
        <w:t>não autentica utilizadores</w:t>
      </w:r>
      <w:r>
        <w:rPr>
          <w:b w:val="0"/>
          <w:i w:val="0"/>
        </w:rPr>
        <w:t>.</w:t>
      </w:r>
    </w:p>
    <w:p>
      <w:bookmarkStart w:id="10" w:name="manual_10"/>
      <w:pPr>
        <w:pStyle w:val="Heading1"/>
        <w:pageBreakBefore/>
      </w:pPr>
      <w:r>
        <w:t>11. Ecrãs: Carga, Entregas e Risco</w:t>
      </w:r>
      <w:bookmarkEnd w:id="10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4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ntreg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Entregas por referência: stock e risco de rutura. Dados exemplificativos de 16-09-2026.</w:t>
      </w:r>
    </w:p>
    <w:p>
      <w:r>
        <w:rPr>
          <w:b w:val="0"/>
          <w:i w:val="0"/>
        </w:rPr>
      </w:r>
      <w:r>
        <w:rPr>
          <w:b/>
          <w:i w:val="0"/>
        </w:rPr>
        <w:t>Carga e capacidade.</w:t>
      </w:r>
      <w:r>
        <w:rPr>
          <w:b w:val="0"/>
          <w:i w:val="0"/>
        </w:rPr>
        <w:t xml:space="preserve"> Grelha diária/semanal: produção, setup, capacidade livre e excesso. Azul: produção; laranja: setup; cinzento: livre; tracejado: fechado; vermelho: sobrecarga. Semanas usam dias efetivamente abertos. Inclui operadores por grupo/turno. Consulta sem editor, redistribuição ou exportação própria; livre não significa elegível.</w:t>
      </w:r>
    </w:p>
    <w:p>
      <w:r>
        <w:rPr>
          <w:b w:val="0"/>
          <w:i w:val="0"/>
        </w:rPr>
      </w:r>
      <w:r>
        <w:rPr>
          <w:b/>
          <w:i w:val="0"/>
        </w:rPr>
        <w:t>Entregas por referência.</w:t>
      </w:r>
      <w:r>
        <w:rPr>
          <w:b w:val="0"/>
          <w:i w:val="0"/>
        </w:rPr>
        <w:t xml:space="preserve"> Stock projetado, primeira rutura e detalhe. Filtros por cliente, máquina, rutura e procura; sem pesquisa textual própria. Saldo final positivo não apaga rutura intermédia.</w:t>
      </w:r>
    </w:p>
    <w:p>
      <w:r>
        <w:rPr>
          <w:b w:val="0"/>
          <w:i w:val="0"/>
        </w:rPr>
      </w:r>
      <w:r>
        <w:rPr>
          <w:b/>
          <w:i w:val="0"/>
        </w:rPr>
        <w:t>Por encomenda.</w:t>
      </w:r>
      <w:r>
        <w:rPr>
          <w:b w:val="0"/>
          <w:i w:val="0"/>
        </w:rPr>
        <w:t xml:space="preserve"> Agrupa por data/cliente: quantidade, cobertura, conclusão e estados pronto, parcial, no subcontratante, em produção, planeado ou não planeado. Taxa de preparação, risco a cinco dias e cobertura global. Não regista expedição física/stock real; não liga diretamente aos IDs dos lotes de suporte.</w:t>
      </w:r>
    </w:p>
    <w:p>
      <w:r>
        <w:rPr>
          <w:b w:val="0"/>
          <w:i w:val="0"/>
        </w:rPr>
      </w:r>
      <w:r>
        <w:rPr>
          <w:b/>
          <w:i w:val="0"/>
        </w:rPr>
        <w:t>Risco.</w:t>
      </w:r>
      <w:r>
        <w:rPr>
          <w:b w:val="0"/>
          <w:i w:val="0"/>
        </w:rPr>
        <w:t xml:space="preserve"> Visão geral, Atrasos e Equipa: saúde, mapa máquina/dia, restrições, atrasos e operadores. Saúde 80–100: estável; 50–79: atenção; &lt;50: crítico. Margem é distância entre conclusão e prazo. Scores de risco diferem de Trust Index, OTD e robustez.</w:t>
      </w:r>
    </w:p>
    <w:p>
      <w:bookmarkStart w:id="11" w:name="manual_11"/>
      <w:pPr>
        <w:pStyle w:val="Heading1"/>
        <w:pageBreakBefore/>
      </w:pPr>
      <w:r>
        <w:t>12. Ecrã: Configuração</w:t>
      </w:r>
      <w:bookmarkEnd w:id="11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41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figur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Configuração: fábrica, recursos, calendários e administração. Fotografia de 16-09-2026.</w:t>
      </w:r>
    </w:p>
    <w:p>
      <w:r>
        <w:rPr>
          <w:b w:val="0"/>
          <w:i w:val="0"/>
        </w:rPr>
      </w:r>
      <w:r>
        <w:rPr>
          <w:b/>
          <w:i w:val="0"/>
        </w:rPr>
        <w:t>Fábrica.</w:t>
      </w:r>
      <w:r>
        <w:rPr>
          <w:b w:val="0"/>
          <w:i w:val="0"/>
        </w:rPr>
        <w:t xml:space="preserve"> Máquinas: adicionar, grupo, OEE e ativação; desativar conserva histórico. Turnos: editar os existentes, sem adicionar/remover. Operadores: efetivos por grupo/turno; equipas de setup são distintas.</w:t>
      </w:r>
    </w:p>
    <w:p>
      <w:r>
        <w:rPr>
          <w:b w:val="0"/>
          <w:i w:val="0"/>
        </w:rPr>
      </w:r>
      <w:r>
        <w:rPr>
          <w:b/>
          <w:i w:val="0"/>
        </w:rPr>
        <w:t>Ferramentas/artigos.</w:t>
      </w:r>
      <w:r>
        <w:rPr>
          <w:b w:val="0"/>
          <w:i w:val="0"/>
        </w:rPr>
        <w:t xml:space="preserve"> Consulta artigos/máquina principal; edita alternativa/setup, sem botão adicionar ferramenta. Exceções por referência/máquina; gémeas confirmadas com eco-lotes coerentes. Subcontratação: referências e lead útil, entidade genérica/buffer zero, sem gestão de fornecedores. Famílias de setup não têm editor dedicado normal.</w:t>
      </w:r>
    </w:p>
    <w:p>
      <w:r>
        <w:rPr>
          <w:b w:val="0"/>
          <w:i w:val="0"/>
        </w:rPr>
      </w:r>
      <w:r>
        <w:rPr>
          <w:b/>
          <w:i w:val="0"/>
        </w:rPr>
        <w:t>Calendário.</w:t>
      </w:r>
      <w:r>
        <w:rPr>
          <w:b w:val="0"/>
          <w:i w:val="0"/>
        </w:rPr>
        <w:t xml:space="preserve"> Feriados, encerramentos, dias extra e indisponibilidades por recurso/intervalo/motivo. Alteram capacidade e marcos úteis; manutenção parcial bloqueia só horas relevantes.</w:t>
      </w:r>
    </w:p>
    <w:p>
      <w:r>
        <w:rPr>
          <w:b w:val="0"/>
          <w:i w:val="0"/>
        </w:rPr>
      </w:r>
      <w:r>
        <w:rPr>
          <w:b/>
          <w:i w:val="0"/>
        </w:rPr>
        <w:t>Administração.</w:t>
      </w:r>
      <w:r>
        <w:rPr>
          <w:b w:val="0"/>
          <w:i w:val="0"/>
        </w:rPr>
        <w:t xml:space="preserve"> Qualidade, tabela ISOP, correções por SKU e parâmetros: OEE, eco-lote, buffers, mínimos, agrupamento e prioridade nos campos suportados. Perfis Urgente, Equilibrado, Menos setups e Mais entregas a tempo não suspendem material/restrições físicas.</w:t>
      </w:r>
    </w:p>
    <w:p>
      <w:r>
        <w:rPr>
          <w:b w:val="0"/>
          <w:i w:val="0"/>
        </w:rPr>
      </w:r>
      <w:r>
        <w:rPr>
          <w:b/>
          <w:i w:val="0"/>
        </w:rPr>
        <w:t>Guardar.</w:t>
      </w:r>
      <w:r>
        <w:rPr>
          <w:b w:val="0"/>
          <w:i w:val="0"/>
        </w:rPr>
        <w:t xml:space="preserve"> Máquinas, ferramentas, turnos, equipas de setup e indisponibilidades: calcular → rever → </w:t>
      </w:r>
      <w:r>
        <w:rPr>
          <w:b/>
          <w:i w:val="0"/>
        </w:rPr>
        <w:t>Aplicar e guardar</w:t>
      </w:r>
      <w:r>
        <w:rPr>
          <w:b w:val="0"/>
          <w:i w:val="0"/>
        </w:rPr>
        <w:t>. Parar/cancelar abandona proposta. Outros formulários gravam/recalculam diretamente. Confirmar revisão e resultado aplicado.</w:t>
      </w:r>
    </w:p>
    <w:p>
      <w:bookmarkStart w:id="12" w:name="manual_12"/>
      <w:pPr>
        <w:pStyle w:val="Heading1"/>
        <w:pageBreakBefore/>
      </w:pPr>
      <w:r>
        <w:t>13. Movimentos, simulações e promessa</w:t>
      </w:r>
      <w:bookmarkEnd w:id="12"/>
    </w:p>
    <w:p>
      <w:r>
        <w:rPr>
          <w:b w:val="0"/>
          <w:i w:val="0"/>
        </w:rPr>
      </w:r>
      <w:r>
        <w:rPr>
          <w:b/>
          <w:i w:val="0"/>
        </w:rPr>
        <w:t>Mover.</w:t>
      </w:r>
      <w:r>
        <w:rPr>
          <w:b w:val="0"/>
          <w:i w:val="0"/>
        </w:rPr>
        <w:t xml:space="preserve"> Selecionar no Plano; escolher máquina/dia/início; pedir preview; rever conflitos, setups, quantidades, marcos e indicadores; aplicar candidato validado. Afeta o lote e a sequência, não só a barra. Arrasto arredonda a 15 minutos; formulário permite início produtivo exato. Aplicação confere dataset/revisão/destino; degradação comercial exige motivo/aprovação nesse fluxo. Cria âncora de destino; não há gestor visual autónomo de locks.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0"/>
        <w:gridCol w:w="6241"/>
      </w:tblGrid>
      <w:tr>
        <w:trPr>
          <w:cantSplit/>
          <w:tblHeader/>
        </w:trPr>
        <w:tc>
          <w:tcPr>
            <w:tcW w:type="dxa" w:w="351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Simulação</w:t>
            </w:r>
          </w:p>
        </w:tc>
        <w:tc>
          <w:tcPr>
            <w:tcW w:type="dxa" w:w="6241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Hipótese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Antecipar/atrasar EDD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Data da necessidade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Parar máquina / bloquear ferramenta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Recurso, período e motivo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Falta de operadores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Grupo, turno, pessoas e intervalo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Horas extra / feriado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Capacidade e calendário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Encomenda urgente / alteração / cancelamento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Quantidades e necessidades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Forçar máquina / alterar OEE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Rota e duração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Alterar eco-lote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Dimensionamento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  <w:r>
        <w:rPr>
          <w:b/>
          <w:i w:val="0"/>
        </w:rPr>
        <w:t>Efeitos.</w:t>
      </w:r>
      <w:r>
        <w:rPr>
          <w:b w:val="0"/>
          <w:i w:val="0"/>
        </w:rPr>
        <w:t xml:space="preserve"> Simular calcula sobre cópias, sem alterar plano. </w:t>
      </w:r>
      <w:r>
        <w:rPr>
          <w:b/>
          <w:i w:val="0"/>
        </w:rPr>
        <w:t>Aplicar no Gantt substitui o estado ativo partilhado no servidor</w:t>
      </w:r>
      <w:r>
        <w:rPr>
          <w:b w:val="0"/>
          <w:i w:val="0"/>
        </w:rPr>
        <w:t>, atualiza análises e pode persistir configuração, mantendo indicação de cenário/reversão. Não é vista privada. Guardar cenário conserva alternativa; aplicar como realidade usa o respetivo fluxo/gates.</w:t>
      </w:r>
    </w:p>
    <w:p>
      <w:r>
        <w:rPr>
          <w:b w:val="0"/>
          <w:i w:val="0"/>
        </w:rPr>
        <w:t>Mudar data comercial altera a hipótese, não melhora cumprimento do compromisso original. «Dia» pode ser índice D0, D1, etc.; conferir datas reais.</w:t>
      </w:r>
    </w:p>
    <w:p>
      <w:r>
        <w:rPr>
          <w:b w:val="0"/>
          <w:i w:val="0"/>
        </w:rPr>
      </w:r>
      <w:r>
        <w:rPr>
          <w:b/>
          <w:i w:val="0"/>
        </w:rPr>
        <w:t>Paragem rápida.</w:t>
      </w:r>
      <w:r>
        <w:rPr>
          <w:b w:val="0"/>
          <w:i w:val="0"/>
        </w:rPr>
        <w:t xml:space="preserve"> Tenta aplicar diretamente, sem preview separado nem job cancelável próprio. Para estudar primeiro impacto, usar simulação completa. Rever transferências, setups, pessoas e entregas.</w:t>
      </w:r>
    </w:p>
    <w:p>
      <w:r>
        <w:rPr>
          <w:b w:val="0"/>
          <w:i w:val="0"/>
        </w:rPr>
      </w:r>
      <w:r>
        <w:rPr>
          <w:b/>
          <w:i w:val="0"/>
        </w:rPr>
        <w:t>CTP: Posso prometer?</w:t>
      </w:r>
      <w:r>
        <w:rPr>
          <w:b w:val="0"/>
          <w:i w:val="0"/>
        </w:rPr>
        <w:t xml:space="preserve"> Indicar referência, quantidade e prazo; avalia encaixe, material, duração e subcontratação. Não reserva capacidade nem envia promessa ao cliente. Aplicar necessidade é separado e valida impacto nos compromissos existentes. Resultado perde validade quando muda procura/configuração/revisão. Alguns fluxos diretos devolvem HTTP 409 se faltar aprovação exigida.</w:t>
      </w:r>
    </w:p>
    <w:p>
      <w:bookmarkStart w:id="13" w:name="manual_13"/>
      <w:pPr>
        <w:pStyle w:val="Heading1"/>
        <w:pageBreakBefore/>
      </w:pPr>
      <w:r>
        <w:t>14. Operação, versões e assistência</w:t>
      </w:r>
      <w:bookmarkEnd w:id="13"/>
    </w:p>
    <w:p>
      <w:r>
        <w:rPr>
          <w:b w:val="0"/>
          <w:i w:val="0"/>
        </w:rPr>
      </w:r>
      <w:r>
        <w:rPr>
          <w:b/>
          <w:i w:val="0"/>
        </w:rPr>
        <w:t>Rotina.</w:t>
      </w:r>
      <w:r>
        <w:rPr>
          <w:b w:val="0"/>
          <w:i w:val="0"/>
        </w:rPr>
        <w:t xml:space="preserve"> Confirmar ISOP/data em Hoje; rever recursos, preparações e expedições; abrir riscos no Plano; conferir material, prazo e envio; consultar falta por cliente em Entregas; tratar causa ou calcular alteração. OTD elevado pode esconder atraso prioritário; máquina vazia pode aguardar material.</w:t>
      </w:r>
    </w:p>
    <w:p>
      <w:r>
        <w:rPr>
          <w:b w:val="0"/>
          <w:i w:val="0"/>
        </w:rPr>
      </w:r>
      <w:r>
        <w:rPr>
          <w:b/>
          <w:i w:val="0"/>
        </w:rPr>
        <w:t>Planos.</w:t>
      </w:r>
      <w:r>
        <w:rPr>
          <w:b w:val="0"/>
          <w:i w:val="0"/>
        </w:rPr>
        <w:t xml:space="preserve"> Lista versões, origem e indicadores; guarda versão nomeada, restaura e elimina conforme o modo. Snapshot inclui dados, configuração, lotes, segmentos, gates, avisos, edições e aprovações. Restauro valida modelo/política atuais e pode recalcular; não garante minutos idênticos de uma versão incompatível. Reverter/Desfazer usa estado anterior, não histórico infinito. Normalmente conserva vinte versões automáticas; manuais ficam fora da poda.</w:t>
      </w:r>
    </w:p>
    <w:p>
      <w:r>
        <w:rPr>
          <w:b w:val="0"/>
          <w:i w:val="0"/>
        </w:rPr>
      </w:r>
      <w:r>
        <w:rPr>
          <w:b/>
          <w:i w:val="0"/>
        </w:rPr>
        <w:t>Journal e Regras.</w:t>
      </w:r>
      <w:r>
        <w:rPr>
          <w:b w:val="0"/>
          <w:i w:val="0"/>
        </w:rPr>
        <w:t xml:space="preserve"> Em Configuração → Administração/Avançado: «Diagnóstico» mostra severidade, fase, mensagem e duração, sem pesquisa/exportação nem auditoria completa por pessoa. «Ver regras» tem 19 descrições frontend, parcialmente configuradas: não é editor nem inventário exaustivo. Regras textuais do Copilot são contexto, não restrições matemáticas automáticas.</w:t>
      </w:r>
    </w:p>
    <w:p>
      <w:r>
        <w:rPr>
          <w:b w:val="0"/>
          <w:i w:val="0"/>
        </w:rPr>
      </w:r>
      <w:r>
        <w:rPr>
          <w:b/>
          <w:i w:val="0"/>
        </w:rPr>
        <w:t>Copilot.</w:t>
      </w:r>
      <w:r>
        <w:rPr>
          <w:b w:val="0"/>
          <w:i w:val="0"/>
        </w:rPr>
        <w:t xml:space="preserve"> Consultas, visualizações e ações por ferramentas backend, dependentes do provider. Indisponibilidade não impede os ecrãs industriais. Ações estão sujeitas a gates. Chat sem streaming, anexos ou histórico persistente; fechar perde conversa local. Nem todas as ações atualizam vistas: confirmar plano/revisão.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0"/>
        <w:gridCol w:w="6241"/>
      </w:tblGrid>
      <w:tr>
        <w:trPr>
          <w:cantSplit/>
          <w:tblHeader/>
        </w:trPr>
        <w:tc>
          <w:tcPr>
            <w:tcW w:type="dxa" w:w="351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Sintoma</w:t>
            </w:r>
          </w:p>
        </w:tc>
        <w:tc>
          <w:tcPr>
            <w:tcW w:type="dxa" w:w="6241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OTD diferente de OTD-D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Lotes completos versus checkpoints/produção parcial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Produção concluída, entrega não pronta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Lead externo ou peças atribuídas a entrega anterior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Espaço / setup inesperado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Material, calendário, recursos e identidade de afinação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Mudança não aparece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Aplicação do candidato, revisão e atualização/reabertura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Plano válido pede aprovação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Entrega, pessoas, produção longa e robustez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Timeout / candidato obsoleto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Estado do mesmo job e alteração da origem</w:t>
            </w:r>
          </w:p>
        </w:tc>
      </w:tr>
    </w:tbl>
    <w:p>
      <w:pPr>
        <w:spacing w:after="40"/>
      </w:pPr>
    </w:p>
    <w:p>
      <w:bookmarkStart w:id="14" w:name="manual_14"/>
      <w:pPr>
        <w:pStyle w:val="Heading1"/>
        <w:pageBreakBefore/>
      </w:pPr>
      <w:r>
        <w:t>15. Motor e arquitetura</w:t>
      </w:r>
      <w:bookmarkEnd w:id="14"/>
    </w:p>
    <w:p>
      <w:pPr>
        <w:spacing w:before="140" w:after="200"/>
        <w:shd w:fill="EEF5F4"/>
      </w:pPr>
      <w:r>
        <w:rPr>
          <w:rFonts w:ascii="Liberation Mono" w:hAnsi="Liberation Mono"/>
          <w:sz w:val="17"/>
        </w:rPr>
        <w:t>ISOP + configuração + calendário</w:t>
        <w:br/>
        <w:t xml:space="preserve">  -&gt; operações -&gt; lotes/gémeas -&gt; campanhas</w:t>
        <w:br/>
        <w:t xml:space="preserve">  -&gt; construção -&gt; pesquisa/polimento -&gt; reparações</w:t>
        <w:br/>
        <w:t xml:space="preserve">  -&gt; score + gates + robustez + explicações</w:t>
        <w:br/>
        <w:t xml:space="preserve">  -&gt; candidato -&gt; aprovação quando exigida -&gt; aplicação</w:t>
      </w:r>
    </w:p>
    <w:p>
      <w:r>
        <w:rPr>
          <w:b w:val="0"/>
          <w:i w:val="0"/>
        </w:rPr>
      </w:r>
      <w:r>
        <w:rPr>
          <w:b/>
          <w:i w:val="0"/>
        </w:rPr>
        <w:t>Construção.</w:t>
      </w:r>
      <w:r>
        <w:rPr>
          <w:b w:val="0"/>
          <w:i w:val="0"/>
        </w:rPr>
        <w:t xml:space="preserve"> OR-Tools CP-SAT concilia recursos/janelas; tenta serviço estrito e admite atraso em fallback, sem relaxar material. Existe construção heurística. VNS pesquisa ordem, reposicionamento e alternativas; CPO coordena candidatos e polimento. Normalização trata gaps, prioridades, alternativas e final de campanha.</w:t>
      </w:r>
    </w:p>
    <w:p>
      <w:r>
        <w:rPr>
          <w:b w:val="0"/>
          <w:i w:val="0"/>
        </w:rPr>
      </w:r>
      <w:r>
        <w:rPr>
          <w:b/>
          <w:i w:val="0"/>
        </w:rPr>
        <w:t>Escolha.</w:t>
      </w:r>
      <w:r>
        <w:rPr>
          <w:b w:val="0"/>
          <w:i w:val="0"/>
        </w:rPr>
        <w:t xml:space="preserve"> Serviço usa comparação lexicográfica; setups, utilização e antecipação são secundários sujeitos a gates. Não substitui proteção independente dos indicadores na compactação. Timeout não prova inviabilidade; melhor candidato não prova ótimo global. Pesquisa tem limites de tempo, passagens e movimentos.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45"/>
        <w:gridCol w:w="2340"/>
        <w:gridCol w:w="2243"/>
        <w:gridCol w:w="3023"/>
      </w:tblGrid>
      <w:tr>
        <w:trPr>
          <w:cantSplit/>
          <w:tblHeader/>
        </w:trPr>
        <w:tc>
          <w:tcPr>
            <w:tcW w:type="dxa" w:w="2145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CPO</w:t>
            </w:r>
          </w:p>
        </w:tc>
        <w:tc>
          <w:tcPr>
            <w:tcW w:type="dxa" w:w="234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Pesquisa nominal</w:t>
            </w:r>
          </w:p>
        </w:tc>
        <w:tc>
          <w:tcPr>
            <w:tcW w:type="dxa" w:w="2243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Candidatos adicionais</w:t>
            </w:r>
          </w:p>
        </w:tc>
        <w:tc>
          <w:tcPr>
            <w:tcW w:type="dxa" w:w="3023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Polimento/máquina</w:t>
            </w:r>
          </w:p>
        </w:tc>
      </w:tr>
      <w:tr>
        <w:trPr>
          <w:cantSplit/>
        </w:trPr>
        <w:tc>
          <w:tcPr>
            <w:tcW w:type="dxa" w:w="2145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quick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60 s</w:t>
            </w:r>
          </w:p>
        </w:tc>
        <w:tc>
          <w:tcPr>
            <w:tcW w:type="dxa" w:w="2243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3023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Desativado</w:t>
            </w:r>
          </w:p>
        </w:tc>
      </w:tr>
      <w:tr>
        <w:trPr>
          <w:cantSplit/>
        </w:trPr>
        <w:tc>
          <w:tcPr>
            <w:tcW w:type="dxa" w:w="2145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normal</w:t>
            </w:r>
          </w:p>
        </w:tc>
        <w:tc>
          <w:tcPr>
            <w:tcW w:type="dxa" w:w="234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60 s</w:t>
            </w:r>
          </w:p>
        </w:tc>
        <w:tc>
          <w:tcPr>
            <w:tcW w:type="dxa" w:w="2243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Até 12</w:t>
            </w:r>
          </w:p>
        </w:tc>
        <w:tc>
          <w:tcPr>
            <w:tcW w:type="dxa" w:w="3023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1 s</w:t>
            </w:r>
          </w:p>
        </w:tc>
      </w:tr>
      <w:tr>
        <w:trPr>
          <w:cantSplit/>
        </w:trPr>
        <w:tc>
          <w:tcPr>
            <w:tcW w:type="dxa" w:w="2145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deep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300 s</w:t>
            </w:r>
          </w:p>
        </w:tc>
        <w:tc>
          <w:tcPr>
            <w:tcW w:type="dxa" w:w="2243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Até 48</w:t>
            </w:r>
          </w:p>
        </w:tc>
        <w:tc>
          <w:tcPr>
            <w:tcW w:type="dxa" w:w="3023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5 s</w:t>
            </w:r>
          </w:p>
        </w:tc>
      </w:tr>
      <w:tr>
        <w:trPr>
          <w:cantSplit/>
        </w:trPr>
        <w:tc>
          <w:tcPr>
            <w:tcW w:type="dxa" w:w="2145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max</w:t>
            </w:r>
          </w:p>
        </w:tc>
        <w:tc>
          <w:tcPr>
            <w:tcW w:type="dxa" w:w="234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600 s</w:t>
            </w:r>
          </w:p>
        </w:tc>
        <w:tc>
          <w:tcPr>
            <w:tcW w:type="dxa" w:w="2243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Até 80</w:t>
            </w:r>
          </w:p>
        </w:tc>
        <w:tc>
          <w:tcPr>
            <w:tcW w:type="dxa" w:w="3023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20 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Construção, análises, robustez e persistência podem aumentar duração total. Aprendizagem/Optuna/pesquisa genética existem em caminhos específicos, não obrigatórios em cada upload. Conservar ficheiro, configuração, código, opções e sementes para reproduzir.</w:t>
      </w:r>
    </w:p>
    <w:p>
      <w:r>
        <w:rPr>
          <w:b w:val="0"/>
          <w:i w:val="0"/>
        </w:rPr>
      </w:r>
      <w:r>
        <w:rPr>
          <w:b/>
          <w:i w:val="0"/>
        </w:rPr>
        <w:t>Tecnologia.</w:t>
      </w:r>
      <w:r>
        <w:rPr>
          <w:b w:val="0"/>
          <w:i w:val="0"/>
        </w:rPr>
        <w:t xml:space="preserve"> React 19/TypeScript/Vite/Zustand; API FastAPI/Pydantic/Uvicorn; openpyxl; YAML; Python/OR-Tools; SQLite; OpenAI/Ollama opcionais. Docker usa Nginx/Supervisor. Python de referência: </w:t>
      </w:r>
      <w:r>
        <w:rPr>
          <w:b/>
          <w:i w:val="0"/>
        </w:rPr>
        <w:t>3.12</w:t>
      </w:r>
      <w:r>
        <w:rPr>
          <w:b w:val="0"/>
          <w:i w:val="0"/>
        </w:rPr>
        <w:t>; metadados legados ≥3.10 não provam compatibilidade.</w:t>
      </w:r>
    </w:p>
    <w:p>
      <w:r>
        <w:rPr>
          <w:b w:val="0"/>
          <w:i w:val="0"/>
        </w:rPr>
      </w:r>
      <w:r>
        <w:rPr>
          <w:b/>
          <w:i w:val="0"/>
        </w:rPr>
        <w:t>Concorrência.</w:t>
      </w:r>
      <w:r>
        <w:rPr>
          <w:b w:val="0"/>
          <w:i w:val="0"/>
        </w:rPr>
        <w:t xml:space="preserve"> Plano e locks são locais ao backend e partilhados. Usar </w:t>
      </w:r>
      <w:r>
        <w:rPr>
          <w:b/>
          <w:i w:val="0"/>
        </w:rPr>
        <w:t>uma instância com um worker API</w:t>
      </w:r>
      <w:r>
        <w:rPr>
          <w:b w:val="0"/>
          <w:i w:val="0"/>
        </w:rPr>
        <w:t xml:space="preserve"> sem coordenação adicional. Upload/replaneamento têm jobs; simulação/CTP e outros caminhos síncronos podem bloquear pedidos. Cancelamento cooperativo; HTTP 202 significa aceite, não aplicado. Revisão, dataset e fingerprints protegem contra candidatos obsoletos.</w:t>
      </w:r>
    </w:p>
    <w:p>
      <w:bookmarkStart w:id="15" w:name="manual_15"/>
      <w:pPr>
        <w:pStyle w:val="Heading1"/>
        <w:pageBreakBefore/>
      </w:pPr>
      <w:r>
        <w:t>16. API, persistência e implantação</w:t>
      </w:r>
      <w:bookmarkEnd w:id="15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0"/>
        <w:gridCol w:w="6241"/>
      </w:tblGrid>
      <w:tr>
        <w:trPr>
          <w:cantSplit/>
          <w:tblHeader/>
        </w:trPr>
        <w:tc>
          <w:tcPr>
            <w:tcW w:type="dxa" w:w="351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Domínio</w:t>
            </w:r>
          </w:p>
        </w:tc>
        <w:tc>
          <w:tcPr>
            <w:tcW w:type="dxa" w:w="6241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Rotas representativas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Dados/análises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/api/data/score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/segments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/lots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/stock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/orders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/capacity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/risk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/gate-report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Upload/recálculo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/api/data/load/prepare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/load/confirm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/load/jobs/{id}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/replan-jobs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Movimento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/api/data/plan/move-preview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/move-preview-jobs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/move-apply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/edits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Cenários/CTP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/api/data/simulate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/simulate-apply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/scenarios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/ctp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/ctp-apply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/revert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Configuração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/api/data/config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/machines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/tools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/operators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/subcontracts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/holidays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/unavailability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Versões/robustez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/api/data/plans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/robustness-runs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Operação/assistente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/api/console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/api/copilot/chat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/health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Abreviações mantêm prefixo do domínio; movimento mantém </w:t>
      </w:r>
      <w:r>
        <w:rPr>
          <w:rFonts w:ascii="Liberation Mono" w:hAnsi="Liberation Mono"/>
          <w:b w:val="0"/>
          <w:i w:val="0"/>
          <w:sz w:val="17"/>
        </w:rPr>
        <w:t>/api/data/plan</w:t>
      </w:r>
      <w:r>
        <w:rPr>
          <w:b w:val="0"/>
          <w:i w:val="0"/>
        </w:rPr>
        <w:t xml:space="preserve">. Métodos/schemas: routers/OpenAPI. Upload legado por caminho local </w:t>
      </w:r>
      <w:r>
        <w:rPr>
          <w:rFonts w:ascii="Liberation Mono" w:hAnsi="Liberation Mono"/>
          <w:b w:val="0"/>
          <w:i w:val="0"/>
          <w:sz w:val="17"/>
        </w:rPr>
        <w:t>/api/copilot/load</w:t>
      </w:r>
      <w:r>
        <w:rPr>
          <w:b w:val="0"/>
          <w:i w:val="0"/>
        </w:rPr>
        <w:t xml:space="preserve"> está desativado, HTTP 410.</w:t>
      </w:r>
    </w:p>
    <w:p>
      <w:r>
        <w:rPr>
          <w:b w:val="0"/>
          <w:i w:val="0"/>
        </w:rPr>
      </w:r>
      <w:r>
        <w:rPr>
          <w:b/>
          <w:i w:val="0"/>
        </w:rPr>
        <w:t>Armazenamento.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config/incompol.yaml</w:t>
      </w:r>
      <w:r>
        <w:rPr>
          <w:b w:val="0"/>
          <w:i w:val="0"/>
        </w:rPr>
        <w:t xml:space="preserve">: mestre; </w:t>
      </w:r>
      <w:r>
        <w:rPr>
          <w:rFonts w:ascii="Liberation Mono" w:hAnsi="Liberation Mono"/>
          <w:b w:val="0"/>
          <w:i w:val="0"/>
          <w:sz w:val="17"/>
        </w:rPr>
        <w:t>config/factory.yaml</w:t>
      </w:r>
      <w:r>
        <w:rPr>
          <w:b w:val="0"/>
          <w:i w:val="0"/>
        </w:rPr>
        <w:t xml:space="preserve">: fábrica efetiva. Em </w:t>
      </w:r>
      <w:r>
        <w:rPr>
          <w:rFonts w:ascii="Liberation Mono" w:hAnsi="Liberation Mono"/>
          <w:b w:val="0"/>
          <w:i w:val="0"/>
          <w:sz w:val="17"/>
        </w:rPr>
        <w:t>data/</w:t>
      </w:r>
      <w:r>
        <w:rPr>
          <w:b w:val="0"/>
          <w:i w:val="0"/>
        </w:rPr>
        <w:t xml:space="preserve">: </w:t>
      </w:r>
      <w:r>
        <w:rPr>
          <w:rFonts w:ascii="Liberation Mono" w:hAnsi="Liberation Mono"/>
          <w:b w:val="0"/>
          <w:i w:val="0"/>
          <w:sz w:val="17"/>
        </w:rPr>
        <w:t>plans.db</w:t>
      </w:r>
      <w:r>
        <w:rPr>
          <w:b w:val="0"/>
          <w:i w:val="0"/>
        </w:rPr>
        <w:t xml:space="preserve">, snapshots/cenários/uploads; </w:t>
      </w:r>
      <w:r>
        <w:rPr>
          <w:rFonts w:ascii="Liberation Mono" w:hAnsi="Liberation Mono"/>
          <w:b w:val="0"/>
          <w:i w:val="0"/>
          <w:sz w:val="17"/>
        </w:rPr>
        <w:t>replan.db</w:t>
      </w:r>
      <w:r>
        <w:rPr>
          <w:b w:val="0"/>
          <w:i w:val="0"/>
        </w:rPr>
        <w:t xml:space="preserve">, tarefas; </w:t>
      </w:r>
      <w:r>
        <w:rPr>
          <w:rFonts w:ascii="Liberation Mono" w:hAnsi="Liberation Mono"/>
          <w:b w:val="0"/>
          <w:i w:val="0"/>
          <w:sz w:val="17"/>
        </w:rPr>
        <w:t>robustness.db</w:t>
      </w:r>
      <w:r>
        <w:rPr>
          <w:b w:val="0"/>
          <w:i w:val="0"/>
        </w:rPr>
        <w:t xml:space="preserve">, avaliações; </w:t>
      </w:r>
      <w:r>
        <w:rPr>
          <w:rFonts w:ascii="Liberation Mono" w:hAnsi="Liberation Mono"/>
          <w:b w:val="0"/>
          <w:i w:val="0"/>
          <w:sz w:val="17"/>
        </w:rPr>
        <w:t>audit.db</w:t>
      </w:r>
      <w:r>
        <w:rPr>
          <w:b w:val="0"/>
          <w:i w:val="0"/>
        </w:rPr>
        <w:t xml:space="preserve">, decisões; </w:t>
      </w:r>
      <w:r>
        <w:rPr>
          <w:rFonts w:ascii="Liberation Mono" w:hAnsi="Liberation Mono"/>
          <w:b w:val="0"/>
          <w:i w:val="0"/>
          <w:sz w:val="17"/>
        </w:rPr>
        <w:t>learning.db</w:t>
      </w:r>
      <w:r>
        <w:rPr>
          <w:b w:val="0"/>
          <w:i w:val="0"/>
        </w:rPr>
        <w:t xml:space="preserve">, estudos; </w:t>
      </w:r>
      <w:r>
        <w:rPr>
          <w:rFonts w:ascii="Liberation Mono" w:hAnsi="Liberation Mono"/>
          <w:b w:val="0"/>
          <w:i w:val="0"/>
          <w:sz w:val="17"/>
        </w:rPr>
        <w:t>copilot_state.json</w:t>
      </w:r>
      <w:r>
        <w:rPr>
          <w:b w:val="0"/>
          <w:i w:val="0"/>
        </w:rPr>
        <w:t>, contexto textual.</w:t>
      </w:r>
    </w:p>
    <w:p>
      <w:r>
        <w:rPr>
          <w:b w:val="0"/>
          <w:i w:val="0"/>
        </w:rPr>
      </w:r>
      <w:r>
        <w:rPr>
          <w:b/>
          <w:i w:val="0"/>
        </w:rPr>
        <w:t>Durabilidade.</w:t>
      </w:r>
      <w:r>
        <w:rPr>
          <w:b w:val="0"/>
          <w:i w:val="0"/>
        </w:rPr>
        <w:t xml:space="preserve"> Snapshot e recibo de upload partilham transação SQLite antes da publicação. Não há transação global entre memória/YAML/bases. Falha de autosave noutros caminhos pode coexistir com memória alterada: confirmar versão guardada. Excel é temporário; </w:t>
      </w:r>
      <w:r>
        <w:rPr>
          <w:b/>
          <w:i w:val="0"/>
        </w:rPr>
        <w:t>snapshot não substitui arquivar ISOP original</w:t>
      </w:r>
      <w:r>
        <w:rPr>
          <w:b w:val="0"/>
          <w:i w:val="0"/>
        </w:rPr>
        <w:t>.</w:t>
      </w:r>
    </w:p>
    <w:p>
      <w:r>
        <w:rPr>
          <w:b w:val="0"/>
          <w:i w:val="0"/>
        </w:rPr>
      </w:r>
      <w:r>
        <w:rPr>
          <w:b/>
          <w:i w:val="0"/>
        </w:rPr>
        <w:t>Reinício.</w:t>
      </w:r>
      <w:r>
        <w:rPr>
          <w:b w:val="0"/>
          <w:i w:val="0"/>
        </w:rPr>
        <w:t xml:space="preserve"> Recupera versão persistida utilizável, com validação/eventual recálculo. Tarefas incompletas falham/são interrompidas, sem retoma automática. Previews manuais em memória têm de ser refeitos.</w:t>
      </w:r>
    </w:p>
    <w:p>
      <w:r>
        <w:rPr>
          <w:b w:val="0"/>
          <w:i w:val="0"/>
        </w:rPr>
      </w:r>
      <w:r>
        <w:rPr>
          <w:b/>
          <w:i w:val="0"/>
        </w:rPr>
        <w:t>Implantação.</w:t>
      </w:r>
      <w:r>
        <w:rPr>
          <w:b w:val="0"/>
          <w:i w:val="0"/>
        </w:rPr>
        <w:t xml:space="preserve"> API </w:t>
      </w:r>
      <w:r>
        <w:rPr>
          <w:rFonts w:ascii="Liberation Mono" w:hAnsi="Liberation Mono"/>
          <w:b w:val="0"/>
          <w:i w:val="0"/>
          <w:sz w:val="17"/>
        </w:rPr>
        <w:t>backend.api.copilot:app</w:t>
      </w:r>
      <w:r>
        <w:rPr>
          <w:b w:val="0"/>
          <w:i w:val="0"/>
        </w:rPr>
        <w:t xml:space="preserve">. Compose publica porta 3000 e conserva </w:t>
      </w:r>
      <w:r>
        <w:rPr>
          <w:rFonts w:ascii="Liberation Mono" w:hAnsi="Liberation Mono"/>
          <w:b w:val="0"/>
          <w:i w:val="0"/>
          <w:sz w:val="17"/>
        </w:rPr>
        <w:t>/app/data</w:t>
      </w:r>
      <w:r>
        <w:rPr>
          <w:b w:val="0"/>
          <w:i w:val="0"/>
        </w:rPr>
        <w:t xml:space="preserve">, não </w:t>
      </w:r>
      <w:r>
        <w:rPr>
          <w:rFonts w:ascii="Liberation Mono" w:hAnsi="Liberation Mono"/>
          <w:b w:val="0"/>
          <w:i w:val="0"/>
          <w:sz w:val="17"/>
        </w:rPr>
        <w:t>/app/config</w:t>
      </w:r>
      <w:r>
        <w:rPr>
          <w:b w:val="0"/>
          <w:i w:val="0"/>
        </w:rPr>
        <w:t xml:space="preserve">. Recriar contentor pode perder YAML alterado. Backup inclui dados, configuração e ISOPs. Saúde e </w:t>
      </w:r>
      <w:r>
        <w:rPr>
          <w:rFonts w:ascii="Liberation Mono" w:hAnsi="Liberation Mono"/>
          <w:b w:val="0"/>
          <w:i w:val="0"/>
          <w:sz w:val="17"/>
        </w:rPr>
        <w:t>has_data</w:t>
      </w:r>
      <w:r>
        <w:rPr>
          <w:b w:val="0"/>
          <w:i w:val="0"/>
        </w:rPr>
        <w:t xml:space="preserve"> distinguem serviço de plano disponível. Consulta não autentica: segurança/identidade empresariais exigem proteção adicional.</w:t>
      </w:r>
    </w:p>
    <w:p>
      <w:bookmarkStart w:id="16" w:name="manual_16"/>
      <w:pPr>
        <w:pStyle w:val="Heading1"/>
        <w:pageBreakBefore/>
      </w:pPr>
      <w:r>
        <w:t>17. Limitações e critérios de aceitação</w:t>
      </w:r>
      <w:bookmarkEnd w:id="16"/>
    </w:p>
    <w:p>
      <w:r>
        <w:rPr>
          <w:b w:val="0"/>
          <w:i w:val="0"/>
        </w:rPr>
      </w:r>
      <w:r>
        <w:rPr>
          <w:b/>
          <w:i w:val="0"/>
        </w:rPr>
        <w:t>Limitações relevantes:</w:t>
      </w:r>
      <w:r>
        <w:rPr>
          <w:b w:val="0"/>
          <w:i w:val="0"/>
        </w:rPr>
      </w:r>
    </w:p>
    <w:p>
      <w:pPr>
        <w:ind w:left="255" w:hanging="255"/>
      </w:pPr>
      <w:r>
        <w:t xml:space="preserve">1. </w:t>
      </w:r>
      <w:r>
        <w:rPr>
          <w:b w:val="0"/>
          <w:i w:val="0"/>
        </w:rPr>
        <w:t>Proteção individual de OTD/OTD-D por compactação não está explícita em todos os caminhos. Final de campanha pode manter espaço e admitir pequenos aumentos de atraso/défice.</w:t>
      </w:r>
    </w:p>
    <w:p>
      <w:pPr>
        <w:ind w:left="255" w:hanging="255"/>
      </w:pPr>
      <w:r>
        <w:t xml:space="preserve">2. </w:t>
      </w:r>
      <w:r>
        <w:rPr>
          <w:b w:val="0"/>
          <w:i w:val="0"/>
        </w:rPr>
        <w:t xml:space="preserve">Alguns rótulos dizem «dias úteis» para índices de calendário. </w:t>
      </w:r>
      <w:r>
        <w:rPr>
          <w:rFonts w:ascii="Liberation Mono" w:hAnsi="Liberation Mono"/>
          <w:b w:val="0"/>
          <w:i w:val="0"/>
          <w:sz w:val="17"/>
        </w:rPr>
        <w:t>compact_enabled</w:t>
      </w:r>
      <w:r>
        <w:rPr>
          <w:b w:val="0"/>
          <w:i w:val="0"/>
        </w:rPr>
        <w:t xml:space="preserve"> não desativa preenchimento legal obrigatório; </w:t>
      </w:r>
      <w:r>
        <w:rPr>
          <w:rFonts w:ascii="Liberation Mono" w:hAnsi="Liberation Mono"/>
          <w:b w:val="0"/>
          <w:i w:val="0"/>
          <w:sz w:val="17"/>
        </w:rPr>
        <w:t>eco_lot_mode=soft</w:t>
      </w:r>
      <w:r>
        <w:rPr>
          <w:b w:val="0"/>
          <w:i w:val="0"/>
        </w:rPr>
        <w:t xml:space="preserve"> não comprova algoritmo operacional distinto.</w:t>
      </w:r>
    </w:p>
    <w:p>
      <w:pPr>
        <w:ind w:left="255" w:hanging="255"/>
      </w:pPr>
      <w:r>
        <w:t xml:space="preserve">3. </w:t>
      </w:r>
      <w:r>
        <w:rPr>
          <w:b w:val="0"/>
          <w:i w:val="0"/>
        </w:rPr>
        <w:t>Datas ISOP devem ser diárias/contíguas; validação não é exaustiva. Fallbacks, como cadência inválida substituída, podem preceder DQA; conferir origem/avisos.</w:t>
      </w:r>
    </w:p>
    <w:p>
      <w:pPr>
        <w:ind w:left="255" w:hanging="255"/>
      </w:pPr>
      <w:r>
        <w:t xml:space="preserve">4. </w:t>
      </w:r>
      <w:r>
        <w:rPr>
          <w:b w:val="0"/>
          <w:i w:val="0"/>
        </w:rPr>
        <w:t xml:space="preserve">Upload assume máquinas livres e aprovação técnica automática. Aplicações diretas podem receber HTTP 409 por aprovação em falta. Rótulo «Requer aprovação» não prevalece sobre </w:t>
      </w:r>
      <w:r>
        <w:rPr>
          <w:rFonts w:ascii="Liberation Mono" w:hAnsi="Liberation Mono"/>
          <w:b w:val="0"/>
          <w:i w:val="0"/>
          <w:sz w:val="17"/>
        </w:rPr>
        <w:t>apply_decision=blocked</w:t>
      </w:r>
      <w:r>
        <w:rPr>
          <w:b w:val="0"/>
          <w:i w:val="0"/>
        </w:rPr>
        <w:t>.</w:t>
      </w:r>
    </w:p>
    <w:p>
      <w:pPr>
        <w:ind w:left="255" w:hanging="255"/>
      </w:pPr>
      <w:r>
        <w:t xml:space="preserve">5. </w:t>
      </w:r>
      <w:r>
        <w:rPr>
          <w:b w:val="0"/>
          <w:i w:val="0"/>
        </w:rPr>
        <w:t>Atualizar global pode não refazer consultas locais. CSV não replica todos os filtros; Regras não enumera todo o motor; Copilot pode exigir atualização. Consulta tem diferenças de permissões frontend/backend.</w:t>
      </w:r>
    </w:p>
    <w:p>
      <w:pPr>
        <w:ind w:left="255" w:hanging="255"/>
      </w:pPr>
      <w:r>
        <w:t xml:space="preserve">6. </w:t>
      </w:r>
      <w:r>
        <w:rPr>
          <w:b w:val="0"/>
          <w:i w:val="0"/>
        </w:rPr>
        <w:t>Plano partilhado sem autenticação empresarial nem execução/stock reais. Estado local impede múltiplos workers sem coordenação; persistência não é global e YAML precisa de preservação no Docker.</w:t>
      </w:r>
    </w:p>
    <w:p>
      <w:r>
        <w:rPr>
          <w:b w:val="0"/>
          <w:i w:val="0"/>
        </w:rPr>
      </w:r>
      <w:r>
        <w:rPr>
          <w:b/>
          <w:i w:val="0"/>
        </w:rPr>
        <w:t>Aceitar alterações exige evidência:</w:t>
      </w:r>
      <w:r>
        <w:rPr>
          <w:b w:val="0"/>
          <w:i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0"/>
        <w:gridCol w:w="6241"/>
      </w:tblGrid>
      <w:tr>
        <w:trPr>
          <w:cantSplit/>
          <w:tblHeader/>
        </w:trPr>
        <w:tc>
          <w:tcPr>
            <w:tcW w:type="dxa" w:w="351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Critério</w:t>
            </w:r>
          </w:p>
        </w:tc>
        <w:tc>
          <w:tcPr>
            <w:tcW w:type="dxa" w:w="6241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Quantidades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Sem omissões, duplicações ou excedentes inesperados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Recursos/calendário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Sem conflitos; turnos e bloqueios respeitados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Material/setup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Nada antes do release; preparação suficiente e ligada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Compactação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Comparar OTD e OTD-D separadamente; nenhum piora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Exceções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Motivo, autor técnico, candidato e revisão identificados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Comparação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Mesma origem, exceto hipóteses explicitamente alteradas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Recuperação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Snapshot consistente; restauro verificado se afetado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Explicação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Causa concreta de atrasos, espaços e movimentos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Manual produzido por inspeção de código/testes e consulta dos ecrãs, sem alterar regras nem executar nova certificação integral do algoritmo. Mudanças futuras devem atualizar implementação, testes e documento. Testes que escrevem configuração/snapshots devem correr isoladamente.</w:t>
      </w:r>
    </w:p>
    <w:p>
      <w:bookmarkStart w:id="17" w:name="manual_17"/>
      <w:pPr>
        <w:pStyle w:val="Heading1"/>
        <w:pageBreakBefore/>
      </w:pPr>
      <w:r>
        <w:t>18. Referência técnica e manutenção</w:t>
      </w:r>
      <w:bookmarkEnd w:id="17"/>
    </w:p>
    <w:p>
      <w:r>
        <w:rPr>
          <w:b w:val="0"/>
          <w:i w:val="0"/>
        </w:rPr>
      </w:r>
      <w:r>
        <w:rPr>
          <w:b/>
          <w:i w:val="0"/>
        </w:rPr>
        <w:t>Pontos de entrada.</w:t>
      </w:r>
      <w:r>
        <w:rPr>
          <w:b w:val="0"/>
          <w:i w:val="0"/>
        </w:rPr>
        <w:t xml:space="preserve"> Caminhos relativos à raiz; implementação atual prevalece sobre comentários históricos. Este índice localiza o detalhe sem o repetir no manual compacto.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0"/>
        <w:gridCol w:w="6241"/>
      </w:tblGrid>
      <w:tr>
        <w:trPr>
          <w:cantSplit/>
          <w:tblHeader/>
        </w:trPr>
        <w:tc>
          <w:tcPr>
            <w:tcW w:type="dxa" w:w="3510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Assunto</w:t>
            </w:r>
          </w:p>
        </w:tc>
        <w:tc>
          <w:tcPr>
            <w:tcW w:type="dxa" w:w="6241"/>
            <w:shd w:fill="173B3B"/>
          </w:tcPr>
          <w:p>
            <w:pPr>
              <w:spacing w:before="80"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Ficheiros / módulos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ISOP/NP/agregação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backend/parser/isop_reader.py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backend/transform/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Calendário/fábrica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backend/calendar.py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backend/config/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config/factory.yaml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Lotes/gémeas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backend/scheduler/lot_sizing.py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backend/config/planning.py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Afinação/material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backend/scheduler/setup_identity.py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jit_policy.py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validation.py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Prioridades/gaps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backend/scheduler/priority.py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gap_filling.py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priority_normalization.py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campaign_tail.py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operational_audit.py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OTD/OTD-D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backend/scheduler/scoring.py</w:t>
            </w:r>
            <w:r>
              <w:rPr>
                <w:b w:val="0"/>
                <w:i w:val="0"/>
                <w:sz w:val="18"/>
              </w:rPr>
              <w:t xml:space="preserve">: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compute_score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_compute_otd_d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_customer_delay_for_output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Gates/otimização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backend/scheduler/gates.py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global_jit.py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vns.py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backend/cpo/optimizer.py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Análises/risco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backend/analytics/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backend/risk/robustness.py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jobs.py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Estado/jobs/restauro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backend/loading/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backend/replan/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backend/plans/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backend/copilot/state.py</w:t>
            </w:r>
          </w:p>
        </w:tc>
      </w:tr>
      <w:tr>
        <w:trPr>
          <w:cantSplit/>
        </w:trPr>
        <w:tc>
          <w:tcPr>
            <w:tcW w:type="dxa" w:w="3510"/>
            <w:shd w:fill="F2F6F5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API/interface</w:t>
            </w:r>
          </w:p>
        </w:tc>
        <w:tc>
          <w:tcPr>
            <w:tcW w:type="dxa" w:w="6241"/>
            <w:shd w:fill="F2F6F5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backend/api/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frontend/src/pages/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frontend/src/components/</w:t>
            </w:r>
          </w:p>
        </w:tc>
      </w:tr>
      <w:tr>
        <w:trPr>
          <w:cantSplit/>
        </w:trPr>
        <w:tc>
          <w:tcPr>
            <w:tcW w:type="dxa" w:w="3510"/>
            <w:shd w:fill="FFFFFF"/>
          </w:tcPr>
          <w:p>
            <w:pPr>
              <w:spacing w:before="80" w:after="80" w:line="254" w:lineRule="auto"/>
            </w:pPr>
            <w:r>
              <w:rPr>
                <w:b w:val="0"/>
                <w:i w:val="0"/>
                <w:sz w:val="18"/>
              </w:rPr>
              <w:t>Testes</w:t>
            </w:r>
          </w:p>
        </w:tc>
        <w:tc>
          <w:tcPr>
            <w:tcW w:type="dxa" w:w="6241"/>
            <w:shd w:fill="FFFFFF"/>
          </w:tcPr>
          <w:p>
            <w:pPr>
              <w:spacing w:before="80" w:after="80" w:line="254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tests/test_scheduler.py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test_gap_filling.py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test_campaign_tail.py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test_plans.py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test_load_jobs.py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test_robustness.py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  <w:r>
        <w:rPr>
          <w:b/>
          <w:i w:val="0"/>
        </w:rPr>
        <w:t>Vocabulário.</w:t>
      </w:r>
      <w:r>
        <w:rPr>
          <w:b w:val="0"/>
          <w:i w:val="0"/>
        </w:rPr>
        <w:t xml:space="preserve"> APS: planeamento com restrições; EDD: prazo de ordenação; OEE: eficiência; release: libertação; SUBC: subcontratação; JIT: nome histórico da janela; CP-SAT: solver; VNS: pesquisa local; CPO: orquestrador; CTP: capacidade para prometer; gate: validação; stale: obsoleto; fingerprint: hash de coerência.</w:t>
      </w:r>
    </w:p>
    <w:p>
      <w:r>
        <w:rPr>
          <w:b w:val="0"/>
          <w:i w:val="0"/>
        </w:rPr>
      </w:r>
      <w:r>
        <w:rPr>
          <w:b/>
          <w:i w:val="0"/>
        </w:rPr>
        <w:t>Referência.</w:t>
      </w:r>
      <w:r>
        <w:rPr>
          <w:b w:val="0"/>
          <w:i w:val="0"/>
        </w:rPr>
        <w:t xml:space="preserve"> Política </w:t>
      </w:r>
      <w:r>
        <w:rPr>
          <w:rFonts w:ascii="Liberation Mono" w:hAnsi="Liberation Mono"/>
          <w:b w:val="0"/>
          <w:i w:val="0"/>
          <w:sz w:val="17"/>
        </w:rPr>
        <w:t>setup-families-v1</w:t>
      </w:r>
      <w:r>
        <w:rPr>
          <w:b w:val="0"/>
          <w:i w:val="0"/>
        </w:rPr>
        <w:t xml:space="preserve">; snapshot </w:t>
      </w:r>
      <w:r>
        <w:rPr>
          <w:rFonts w:ascii="Liberation Mono" w:hAnsi="Liberation Mono"/>
          <w:b w:val="0"/>
          <w:i w:val="0"/>
          <w:sz w:val="17"/>
        </w:rPr>
        <w:t>aps-v5</w:t>
      </w:r>
      <w:r>
        <w:rPr>
          <w:b w:val="0"/>
          <w:i w:val="0"/>
        </w:rPr>
        <w:t>, serialização 4. Conservar código/configuração/ISOP/sementes. A existência de teste não significa execução nesta entrega.</w:t>
      </w:r>
    </w:p>
    <w:p>
      <w:r>
        <w:rPr>
          <w:b w:val="0"/>
          <w:i w:val="0"/>
        </w:rPr>
      </w:r>
      <w:r>
        <w:rPr>
          <w:b/>
          <w:i w:val="0"/>
        </w:rPr>
        <w:t>Manutenção.</w:t>
      </w:r>
      <w:r>
        <w:rPr>
          <w:b w:val="0"/>
          <w:i w:val="0"/>
        </w:rPr>
        <w:t xml:space="preserve"> Atualizar data/edição ao mudar fórmula, regra, ecrã ou fluxo. Fonte: </w:t>
      </w:r>
      <w:r>
        <w:rPr>
          <w:rFonts w:ascii="Liberation Mono" w:hAnsi="Liberation Mono"/>
          <w:b w:val="0"/>
          <w:i w:val="0"/>
          <w:sz w:val="17"/>
        </w:rPr>
        <w:t>docs/manual-tecnico-funcional-incompol.md</w:t>
      </w:r>
      <w:r>
        <w:rPr>
          <w:b w:val="0"/>
          <w:i w:val="0"/>
        </w:rPr>
        <w:t xml:space="preserve">; gerador: </w:t>
      </w:r>
      <w:r>
        <w:rPr>
          <w:rFonts w:ascii="Liberation Mono" w:hAnsi="Liberation Mono"/>
          <w:b w:val="0"/>
          <w:i w:val="0"/>
          <w:sz w:val="17"/>
        </w:rPr>
        <w:t>docs/tools/render_manual.py</w:t>
      </w:r>
      <w:r>
        <w:rPr>
          <w:b w:val="0"/>
          <w:i w:val="0"/>
        </w:rPr>
        <w:t xml:space="preserve">. Word/PDF partilham conteúdo; capturas são exemplos. Limite editorial: </w:t>
      </w:r>
      <w:r>
        <w:rPr>
          <w:b/>
          <w:i w:val="0"/>
        </w:rPr>
        <w:t>20 páginas, incluindo capa e índice</w:t>
      </w:r>
      <w:r>
        <w:rPr>
          <w:b w:val="0"/>
          <w:i w:val="0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7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INCOMPOL-MTF-001  |  Edição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INCOMPOL  /  PRODPLAN ONE                                        Manual técnico e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Liberation Sans" w:hAnsi="Liberation Sans"/>
      <w:color w:val="25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B3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7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7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B697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INCOMPOL | Manual técnico e funcional</dc:title>
  <dc:subject>Sistema de planeamento de produção</dc:subject>
  <dc:creator>INCOMPOL / ProdPlan ONE</dc:creator>
  <cp:keywords>INCOMPOL, ISOP, APS, OTD, OTD-D, planeamento,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