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Georgia" w:hAnsi="Georgia"/>
          <w:b/>
          <w:i w:val="0"/>
          <w:color w:val="1F3756"/>
          <w:sz w:val="46"/>
        </w:rPr>
        <w:t>What Makes an Exceptional 1–2 Page M&amp;A / Fundraising Teaser</w:t>
      </w:r>
    </w:p>
    <w:p>
      <w:pPr>
        <w:pStyle w:val="SubtitleCustom"/>
      </w:pPr>
      <w:r>
        <w:rPr>
          <w:rFonts w:ascii="Arial" w:hAnsi="Arial"/>
          <w:b w:val="0"/>
          <w:i w:val="0"/>
          <w:color w:val="595959"/>
          <w:sz w:val="22"/>
        </w:rPr>
        <w:t>A first-principles memo on what to include, what to leave out, and how to make a teaser commercially irresistible.</w:t>
      </w:r>
    </w:p>
    <w:p>
      <w:pPr>
        <w:spacing w:after="60"/>
        <w:pBdr>
          <w:bottom w:val="single" w:sz="6" w:space="1" w:color="A8B4C7"/>
        </w:pBdr>
      </w:pPr>
    </w:p>
    <w:p>
      <w:pPr>
        <w:spacing w:after="120"/>
      </w:pPr>
      <w:r>
        <w:rPr>
          <w:rFonts w:ascii="Arial" w:hAnsi="Arial"/>
          <w:b w:val="0"/>
          <w:i w:val="0"/>
          <w:sz w:val="21"/>
        </w:rPr>
        <w:t xml:space="preserve">The purpose of a teaser is not to explain everything. </w:t>
      </w:r>
      <w:r>
        <w:rPr>
          <w:rFonts w:ascii="Arial" w:hAnsi="Arial"/>
          <w:b/>
          <w:i w:val="0"/>
          <w:sz w:val="21"/>
        </w:rPr>
        <w:t>Its job is to make the right buyer or investor ask for the next step—</w:t>
      </w:r>
      <w:r>
        <w:rPr>
          <w:rFonts w:ascii="Arial" w:hAnsi="Arial"/>
          <w:b w:val="0"/>
          <w:i w:val="0"/>
          <w:sz w:val="21"/>
        </w:rPr>
        <w:t>the CIM, the NDA package, or the management call.</w:t>
      </w:r>
    </w:p>
    <w:tbl>
      <w:tblPr>
        <w:tblW w:type="auto" w:w="0"/>
        <w:jc w:val="center"/>
        <w:tblLook w:firstColumn="1" w:firstRow="1" w:lastColumn="0" w:lastRow="0" w:noHBand="0" w:noVBand="1" w:val="04A0"/>
      </w:tblPr>
      <w:tblGrid>
        <w:gridCol w:w="9936"/>
      </w:tblGrid>
      <w:tr>
        <w:tc>
          <w:tcPr>
            <w:tcW w:type="dxa" w:w="9360"/>
            <w:shd w:fill="EAF0F8"/>
          </w:tcPr>
          <w:p>
            <w:pPr>
              <w:spacing w:after="40"/>
            </w:pPr>
            <w:r>
              <w:rPr>
                <w:rFonts w:ascii="Arial" w:hAnsi="Arial"/>
                <w:b/>
                <w:i w:val="0"/>
                <w:color w:val="1F3756"/>
                <w:sz w:val="22"/>
              </w:rPr>
              <w:t>Core principle</w:t>
              <w:br/>
            </w:r>
            <w:r>
              <w:rPr>
                <w:rFonts w:ascii="Arial" w:hAnsi="Arial"/>
                <w:b w:val="0"/>
                <w:i w:val="0"/>
                <w:color w:val="282828"/>
                <w:sz w:val="20"/>
              </w:rPr>
              <w:t>A great teaser is a precision document. Every section should answer one of five questions: why care, why this company, why now, why is it valuable, and why should the recipient spend more time.</w:t>
            </w:r>
          </w:p>
        </w:tc>
      </w:tr>
    </w:tbl>
    <w:p>
      <w:pPr>
        <w:spacing w:after="40"/>
      </w:pPr>
    </w:p>
    <w:p>
      <w:pPr>
        <w:pStyle w:val="Heading1"/>
      </w:pPr>
      <w:r>
        <w:t>1. The First-Principles Test</w:t>
      </w:r>
    </w:p>
    <w:p>
      <w:pPr/>
      <w:r>
        <w:rPr>
          <w:rFonts w:ascii="Arial" w:hAnsi="Arial"/>
          <w:b/>
          <w:i w:val="0"/>
          <w:sz w:val="21"/>
        </w:rPr>
        <w:t>Every box on the page should earn its place.</w:t>
      </w:r>
      <w:r>
        <w:t xml:space="preserve"> If a section does not move a reader toward conviction or urgency, it should be removed.</w:t>
      </w:r>
    </w:p>
    <w:p>
      <w:pPr>
        <w:spacing w:after="40"/>
        <w:ind w:left="360" w:hanging="259"/>
      </w:pPr>
      <w:r>
        <w:rPr>
          <w:rFonts w:ascii="Arial" w:hAnsi="Arial"/>
          <w:b w:val="0"/>
          <w:i w:val="0"/>
          <w:color w:val="1F3756"/>
          <w:sz w:val="21"/>
        </w:rPr>
        <w:t xml:space="preserve">• </w:t>
      </w:r>
      <w:r>
        <w:rPr>
          <w:rFonts w:ascii="Arial" w:hAnsi="Arial"/>
          <w:b w:val="0"/>
          <w:i w:val="0"/>
          <w:sz w:val="21"/>
        </w:rPr>
        <w:t>Create immediate strategic relevance</w:t>
      </w:r>
    </w:p>
    <w:p>
      <w:pPr>
        <w:spacing w:after="40"/>
        <w:ind w:left="360" w:hanging="259"/>
      </w:pPr>
      <w:r>
        <w:rPr>
          <w:rFonts w:ascii="Arial" w:hAnsi="Arial"/>
          <w:b w:val="0"/>
          <w:i w:val="0"/>
          <w:color w:val="1F3756"/>
          <w:sz w:val="21"/>
        </w:rPr>
        <w:t xml:space="preserve">• </w:t>
      </w:r>
      <w:r>
        <w:rPr>
          <w:rFonts w:ascii="Arial" w:hAnsi="Arial"/>
          <w:b w:val="0"/>
          <w:i w:val="0"/>
          <w:sz w:val="21"/>
        </w:rPr>
        <w:t>Establish credibility within seconds</w:t>
      </w:r>
    </w:p>
    <w:p>
      <w:pPr>
        <w:spacing w:after="40"/>
        <w:ind w:left="360" w:hanging="259"/>
      </w:pPr>
      <w:r>
        <w:rPr>
          <w:rFonts w:ascii="Arial" w:hAnsi="Arial"/>
          <w:b w:val="0"/>
          <w:i w:val="0"/>
          <w:color w:val="1F3756"/>
          <w:sz w:val="21"/>
        </w:rPr>
        <w:t xml:space="preserve">• </w:t>
      </w:r>
      <w:r>
        <w:rPr>
          <w:rFonts w:ascii="Arial" w:hAnsi="Arial"/>
          <w:b w:val="0"/>
          <w:i w:val="0"/>
          <w:sz w:val="21"/>
        </w:rPr>
        <w:t>Show enough performance to prove quality</w:t>
      </w:r>
    </w:p>
    <w:p>
      <w:pPr>
        <w:spacing w:after="40"/>
        <w:ind w:left="360" w:hanging="259"/>
      </w:pPr>
      <w:r>
        <w:rPr>
          <w:rFonts w:ascii="Arial" w:hAnsi="Arial"/>
          <w:b w:val="0"/>
          <w:i w:val="0"/>
          <w:color w:val="1F3756"/>
          <w:sz w:val="21"/>
        </w:rPr>
        <w:t xml:space="preserve">• </w:t>
      </w:r>
      <w:r>
        <w:rPr>
          <w:rFonts w:ascii="Arial" w:hAnsi="Arial"/>
          <w:b w:val="0"/>
          <w:i w:val="0"/>
          <w:sz w:val="21"/>
        </w:rPr>
        <w:t>Withhold enough detail to preserve leverage and curiosity</w:t>
      </w:r>
    </w:p>
    <w:p>
      <w:pPr>
        <w:pStyle w:val="Heading1"/>
      </w:pPr>
      <w:r>
        <w:t>2. What the First Page Must Do</w:t>
      </w:r>
    </w:p>
    <w:p>
      <w:pPr/>
      <w:r>
        <w:t>The first page is the money page. It should carry the hook, the positioning, and the highest-signal proof points.</w:t>
      </w:r>
    </w:p>
    <w:p>
      <w:pPr>
        <w:pStyle w:val="Heading2"/>
      </w:pPr>
      <w:r>
        <w:t>Headline</w:t>
      </w:r>
    </w:p>
    <w:p>
      <w:pPr/>
      <w:r>
        <w:t>Use one sharp sentence that states the category, customer, and strategic relevance. Avoid slogans. A strong formula is: “Category-leading [company type] enabling [mission-critical outcome] for [customer set] in a [large / growing] market.”</w:t>
      </w:r>
    </w:p>
    <w:p>
      <w:pPr>
        <w:pStyle w:val="Heading2"/>
      </w:pPr>
      <w:r>
        <w:t>Snapshot box</w:t>
      </w:r>
    </w:p>
    <w:p>
      <w:pPr/>
      <w:r>
        <w:t>Include only the compact facts a sophisticated reader scans first: HQ or geographic footprint, founding year, business model, customer scale, sectors served, ownership profile, and revenue or profitability band when attractive.</w:t>
      </w:r>
    </w:p>
    <w:p>
      <w:pPr>
        <w:pStyle w:val="Heading2"/>
      </w:pPr>
      <w:r>
        <w:t>Investment highlights</w:t>
      </w:r>
    </w:p>
    <w:p>
      <w:pPr/>
      <w:r>
        <w:t>Use 4–6 bullets framed as investor conclusions, not company descriptions. Examples: defensible niche, recurring or repeat-heavy revenue, durable growth tailwinds, attractive margins or cash conversion, and clear whitespace for expansion.</w:t>
      </w:r>
    </w:p>
    <w:p>
      <w:pPr>
        <w:pStyle w:val="Heading2"/>
      </w:pPr>
      <w:r>
        <w:t>Business summary</w:t>
      </w:r>
    </w:p>
    <w:p>
      <w:pPr/>
      <w:r>
        <w:t>Add a short paragraph or 2–3 bullets explaining what the company sells, to whom, how it makes money, and what problem it solves. A teaser fails if the reader still cannot quickly understand the business.</w:t>
      </w:r>
    </w:p>
    <w:p>
      <w:pPr>
        <w:pStyle w:val="Heading2"/>
      </w:pPr>
      <w:r>
        <w:t>KPI strip</w:t>
      </w:r>
    </w:p>
    <w:p>
      <w:pPr/>
      <w:r>
        <w:t>Use 4–6 valuation-relevant metrics only. Pick the metrics that best prove quality for the business model—ARR, retention, margin, churn, backlog, repeat rate, cohort behavior, site count, EBITDA margin, or customer concentration as appropriate.</w:t>
      </w:r>
    </w:p>
    <w:p>
      <w:pPr>
        <w:pStyle w:val="Heading1"/>
      </w:pPr>
      <w:r>
        <w:t>3. What the Second Page Should Add</w:t>
      </w:r>
    </w:p>
    <w:p>
      <w:pPr/>
      <w:r>
        <w:t>A second page should deepen conviction rather than repeat the first page. Its role is to answer: why this business is special, and why it is actionable today.</w:t>
      </w:r>
    </w:p>
    <w:p>
      <w:pPr>
        <w:pStyle w:val="Heading2"/>
      </w:pPr>
      <w:r>
        <w:t>Market context</w:t>
      </w:r>
    </w:p>
    <w:p>
      <w:pPr/>
      <w:r>
        <w:t>Include a concise framing of market size, growth, and the secular drivers that make the company’s position more attractive. This is not a market study; it is a relevance statement.</w:t>
      </w:r>
    </w:p>
    <w:p>
      <w:pPr>
        <w:pStyle w:val="Heading2"/>
      </w:pPr>
      <w:r>
        <w:t>Customer and revenue quality</w:t>
      </w:r>
    </w:p>
    <w:p>
      <w:pPr/>
      <w:r>
        <w:t>Show why the revenue base deserves confidence: diversification, mission-critical use case, contractual visibility, retention, low churn, blue-chip customers, or low concentration where applicable.</w:t>
      </w:r>
    </w:p>
    <w:p>
      <w:pPr>
        <w:pStyle w:val="Heading2"/>
      </w:pPr>
      <w:r>
        <w:t>Growth / value-creation levers</w:t>
      </w:r>
    </w:p>
    <w:p>
      <w:pPr/>
      <w:r>
        <w:t>Spell out the next chapter clearly—upsell, cross-sell, geographic expansion, pricing, channel partnerships, tuck-in M&amp;A, operating leverage, or product expansion. The goal is to show that the buyer is acquiring a platform, not a peak.</w:t>
      </w:r>
    </w:p>
    <w:p>
      <w:pPr>
        <w:pStyle w:val="Heading2"/>
      </w:pPr>
      <w:r>
        <w:t>Transaction framing</w:t>
      </w:r>
    </w:p>
    <w:p>
      <w:pPr/>
      <w:r>
        <w:t>A brief framing line can help orient the recipient: founder seeking growth partner, sponsor evaluating recapitalization, or company raising capital to accelerate a defined plan.</w:t>
      </w:r>
    </w:p>
    <w:p>
      <w:pPr>
        <w:pStyle w:val="Heading1"/>
      </w:pPr>
      <w:r>
        <w:t>4. Recommended Two-Slide Structure</w:t>
      </w:r>
    </w:p>
    <w:tbl>
      <w:tblPr>
        <w:tblStyle w:val="TableGrid"/>
        <w:tblW w:type="auto" w:w="0"/>
        <w:jc w:val="center"/>
        <w:tblLayout w:type="fixed"/>
        <w:tblLook w:firstColumn="1" w:firstRow="1" w:lastColumn="0" w:lastRow="0" w:noHBand="0" w:noVBand="1" w:val="04A0"/>
      </w:tblPr>
      <w:tblGrid>
        <w:gridCol w:w="4968"/>
        <w:gridCol w:w="4968"/>
      </w:tblGrid>
      <w:tr>
        <w:trPr/>
        <w:tc>
          <w:tcPr>
            <w:tcW w:type="dxa" w:w="2160"/>
            <w:vAlign w:val="center"/>
            <w:shd w:fill="1F4E79"/>
          </w:tcPr>
          <w:p>
            <w:pPr>
              <w:spacing w:after="0" w:line="252" w:lineRule="auto"/>
              <w:jc w:val="center"/>
            </w:pPr>
            <w:r/>
            <w:r>
              <w:rPr>
                <w:rFonts w:ascii="Arial" w:hAnsi="Arial"/>
                <w:b/>
                <w:i w:val="0"/>
                <w:color w:val="FFFFFF"/>
                <w:sz w:val="20"/>
              </w:rPr>
              <w:t>Slide</w:t>
            </w:r>
          </w:p>
        </w:tc>
        <w:tc>
          <w:tcPr>
            <w:tcW w:type="dxa" w:w="7056"/>
            <w:vAlign w:val="center"/>
            <w:shd w:fill="1F4E79"/>
          </w:tcPr>
          <w:p>
            <w:pPr>
              <w:spacing w:after="0" w:line="252" w:lineRule="auto"/>
              <w:jc w:val="left"/>
            </w:pPr>
            <w:r/>
            <w:r>
              <w:rPr>
                <w:rFonts w:ascii="Arial" w:hAnsi="Arial"/>
                <w:b/>
                <w:i w:val="0"/>
                <w:color w:val="FFFFFF"/>
                <w:sz w:val="20"/>
              </w:rPr>
              <w:t>Recommended content</w:t>
            </w:r>
          </w:p>
        </w:tc>
      </w:tr>
      <w:tr>
        <w:trPr/>
        <w:tc>
          <w:tcPr>
            <w:tcW w:type="dxa" w:w="2160"/>
            <w:vAlign w:val="center"/>
          </w:tcPr>
          <w:p>
            <w:pPr>
              <w:spacing w:after="0" w:line="252" w:lineRule="auto"/>
              <w:jc w:val="center"/>
            </w:pPr>
            <w:r/>
            <w:r>
              <w:rPr>
                <w:rFonts w:ascii="Arial" w:hAnsi="Arial"/>
                <w:b/>
                <w:i w:val="0"/>
                <w:color w:val="1F3756"/>
                <w:sz w:val="21"/>
              </w:rPr>
              <w:t>1</w:t>
            </w:r>
          </w:p>
        </w:tc>
        <w:tc>
          <w:tcPr>
            <w:tcW w:type="dxa" w:w="7056"/>
            <w:vAlign w:val="center"/>
          </w:tcPr>
          <w:p>
            <w:pPr>
              <w:spacing w:after="0" w:line="252" w:lineRule="auto"/>
              <w:jc w:val="left"/>
            </w:pPr>
            <w:r/>
            <w:r>
              <w:rPr>
                <w:rFonts w:ascii="Arial" w:hAnsi="Arial"/>
                <w:b w:val="0"/>
                <w:i w:val="0"/>
                <w:color w:val="000000"/>
                <w:sz w:val="20"/>
              </w:rPr>
              <w:t>Headline; company overview; 4–6 investment highlights; KPI strip</w:t>
            </w:r>
          </w:p>
        </w:tc>
      </w:tr>
      <w:tr>
        <w:trPr/>
        <w:tc>
          <w:tcPr>
            <w:tcW w:type="dxa" w:w="2160"/>
            <w:vAlign w:val="center"/>
          </w:tcPr>
          <w:p>
            <w:pPr>
              <w:spacing w:after="0" w:line="252" w:lineRule="auto"/>
              <w:jc w:val="center"/>
            </w:pPr>
            <w:r/>
            <w:r>
              <w:rPr>
                <w:rFonts w:ascii="Arial" w:hAnsi="Arial"/>
                <w:b/>
                <w:i w:val="0"/>
                <w:color w:val="1F3756"/>
                <w:sz w:val="21"/>
              </w:rPr>
              <w:t>2</w:t>
            </w:r>
          </w:p>
        </w:tc>
        <w:tc>
          <w:tcPr>
            <w:tcW w:type="dxa" w:w="7056"/>
            <w:vAlign w:val="center"/>
          </w:tcPr>
          <w:p>
            <w:pPr>
              <w:spacing w:after="0" w:line="252" w:lineRule="auto"/>
              <w:jc w:val="left"/>
            </w:pPr>
            <w:r/>
            <w:r>
              <w:rPr>
                <w:rFonts w:ascii="Arial" w:hAnsi="Arial"/>
                <w:b w:val="0"/>
                <w:i w:val="0"/>
                <w:color w:val="000000"/>
                <w:sz w:val="20"/>
              </w:rPr>
              <w:t>Product / solution summary; market tailwinds; customer and revenue quality; growth levers; transaction rationale</w:t>
            </w:r>
          </w:p>
        </w:tc>
      </w:tr>
    </w:tbl>
    <w:p/>
    <w:p>
      <w:pPr>
        <w:pStyle w:val="Heading1"/>
      </w:pPr>
      <w:r>
        <w:t>5. What Makes a Teaser Feel Elite</w:t>
      </w:r>
    </w:p>
    <w:p>
      <w:pPr>
        <w:pStyle w:val="Heading2"/>
      </w:pPr>
      <w:r>
        <w:t>Investor language, not management language</w:t>
      </w:r>
    </w:p>
    <w:p>
      <w:pPr/>
      <w:r>
        <w:t>Use terms such as defensible, sticky, recurring, scalable, margin-accretive, mission-critical, fragmented market, favorable tailwinds, and clear whitespace. Avoid generic superlatives such as amazing, exciting, revolutionary, or best-in-class unless backed by hard evidence.</w:t>
      </w:r>
    </w:p>
    <w:p>
      <w:pPr>
        <w:pStyle w:val="Heading2"/>
      </w:pPr>
      <w:r>
        <w:t>Claims paired with proof</w:t>
      </w:r>
    </w:p>
    <w:p>
      <w:pPr/>
      <w:r>
        <w:t>Every strong claim should be tied to evidence. If you say retention is excellent, show retention. If you say the company is a leader, show market share, customer count, or another proof point.</w:t>
      </w:r>
    </w:p>
    <w:p>
      <w:pPr>
        <w:pStyle w:val="Heading2"/>
      </w:pPr>
      <w:r>
        <w:t>Selective curation</w:t>
      </w:r>
    </w:p>
    <w:p>
      <w:pPr/>
      <w:r>
        <w:t>The document should feel deliberately edited. The strongest teasers show only the information that matters most and leave the rest for the next stage of diligence.</w:t>
      </w:r>
    </w:p>
    <w:p>
      <w:pPr>
        <w:pStyle w:val="Heading2"/>
      </w:pPr>
      <w:r>
        <w:t>Visual restraint</w:t>
      </w:r>
    </w:p>
    <w:p>
      <w:pPr/>
      <w:r>
        <w:t>Whitespace matters. Sparse layout signals confidence. The instinct to cram too much into one or two pages usually weakens the document.</w:t>
      </w:r>
    </w:p>
    <w:tbl>
      <w:tblPr>
        <w:tblW w:type="auto" w:w="0"/>
        <w:jc w:val="center"/>
        <w:tblLook w:firstColumn="1" w:firstRow="1" w:lastColumn="0" w:lastRow="0" w:noHBand="0" w:noVBand="1" w:val="04A0"/>
      </w:tblPr>
      <w:tblGrid>
        <w:gridCol w:w="9936"/>
      </w:tblGrid>
      <w:tr>
        <w:tc>
          <w:tcPr>
            <w:tcW w:type="dxa" w:w="9360"/>
            <w:shd w:fill="EAF0F8"/>
          </w:tcPr>
          <w:p>
            <w:pPr>
              <w:spacing w:after="40"/>
            </w:pPr>
            <w:r>
              <w:rPr>
                <w:rFonts w:ascii="Arial" w:hAnsi="Arial"/>
                <w:b/>
                <w:i w:val="0"/>
                <w:color w:val="1F3756"/>
                <w:sz w:val="22"/>
              </w:rPr>
              <w:t>Biggest mistake</w:t>
              <w:br/>
            </w:r>
            <w:r>
              <w:rPr>
                <w:rFonts w:ascii="Arial" w:hAnsi="Arial"/>
                <w:b w:val="0"/>
                <w:i w:val="0"/>
                <w:color w:val="282828"/>
                <w:sz w:val="20"/>
              </w:rPr>
              <w:t>Most people try to make the teaser informative. The best teasers are commercially irresistible. The standard is not “Did I explain the company?” but “Did I create informed urgency among the right counterparties?”</w:t>
            </w:r>
          </w:p>
        </w:tc>
      </w:tr>
    </w:tbl>
    <w:p>
      <w:pPr>
        <w:spacing w:after="40"/>
      </w:pPr>
    </w:p>
    <w:p>
      <w:pPr>
        <w:pStyle w:val="Heading1"/>
      </w:pPr>
      <w:r>
        <w:t>6. What to Leave Out</w:t>
      </w:r>
    </w:p>
    <w:p>
      <w:pPr>
        <w:spacing w:after="40"/>
        <w:ind w:left="360" w:hanging="259"/>
      </w:pPr>
      <w:r>
        <w:rPr>
          <w:rFonts w:ascii="Arial" w:hAnsi="Arial"/>
          <w:b w:val="0"/>
          <w:i w:val="0"/>
          <w:color w:val="1F3756"/>
          <w:sz w:val="21"/>
        </w:rPr>
        <w:t xml:space="preserve">• </w:t>
      </w:r>
      <w:r>
        <w:rPr>
          <w:rFonts w:ascii="Arial" w:hAnsi="Arial"/>
          <w:b w:val="0"/>
          <w:i w:val="0"/>
          <w:sz w:val="21"/>
        </w:rPr>
        <w:t>Long company histories, org charts, or detailed management biographies</w:t>
      </w:r>
    </w:p>
    <w:p>
      <w:pPr>
        <w:spacing w:after="40"/>
        <w:ind w:left="360" w:hanging="259"/>
      </w:pPr>
      <w:r>
        <w:rPr>
          <w:rFonts w:ascii="Arial" w:hAnsi="Arial"/>
          <w:b w:val="0"/>
          <w:i w:val="0"/>
          <w:color w:val="1F3756"/>
          <w:sz w:val="21"/>
        </w:rPr>
        <w:t xml:space="preserve">• </w:t>
      </w:r>
      <w:r>
        <w:rPr>
          <w:rFonts w:ascii="Arial" w:hAnsi="Arial"/>
          <w:b w:val="0"/>
          <w:i w:val="0"/>
          <w:sz w:val="21"/>
        </w:rPr>
        <w:t>Too many product screenshots or dense visual clutter</w:t>
      </w:r>
    </w:p>
    <w:p>
      <w:pPr>
        <w:spacing w:after="40"/>
        <w:ind w:left="360" w:hanging="259"/>
      </w:pPr>
      <w:r>
        <w:rPr>
          <w:rFonts w:ascii="Arial" w:hAnsi="Arial"/>
          <w:b w:val="0"/>
          <w:i w:val="0"/>
          <w:color w:val="1F3756"/>
          <w:sz w:val="21"/>
        </w:rPr>
        <w:t xml:space="preserve">• </w:t>
      </w:r>
      <w:r>
        <w:rPr>
          <w:rFonts w:ascii="Arial" w:hAnsi="Arial"/>
          <w:b w:val="0"/>
          <w:i w:val="0"/>
          <w:sz w:val="21"/>
        </w:rPr>
        <w:t>Overly detailed financial tables better reserved for the CIM</w:t>
      </w:r>
    </w:p>
    <w:p>
      <w:pPr>
        <w:spacing w:after="40"/>
        <w:ind w:left="360" w:hanging="259"/>
      </w:pPr>
      <w:r>
        <w:rPr>
          <w:rFonts w:ascii="Arial" w:hAnsi="Arial"/>
          <w:b w:val="0"/>
          <w:i w:val="0"/>
          <w:color w:val="1F3756"/>
          <w:sz w:val="21"/>
        </w:rPr>
        <w:t xml:space="preserve">• </w:t>
      </w:r>
      <w:r>
        <w:rPr>
          <w:rFonts w:ascii="Arial" w:hAnsi="Arial"/>
          <w:b w:val="0"/>
          <w:i w:val="0"/>
          <w:sz w:val="21"/>
        </w:rPr>
        <w:t>Generic buzzwords with no proof behind them</w:t>
      </w:r>
    </w:p>
    <w:p>
      <w:pPr>
        <w:spacing w:after="40"/>
        <w:ind w:left="360" w:hanging="259"/>
      </w:pPr>
      <w:r>
        <w:rPr>
          <w:rFonts w:ascii="Arial" w:hAnsi="Arial"/>
          <w:b w:val="0"/>
          <w:i w:val="0"/>
          <w:color w:val="1F3756"/>
          <w:sz w:val="21"/>
        </w:rPr>
        <w:t xml:space="preserve">• </w:t>
      </w:r>
      <w:r>
        <w:rPr>
          <w:rFonts w:ascii="Arial" w:hAnsi="Arial"/>
          <w:b w:val="0"/>
          <w:i w:val="0"/>
          <w:sz w:val="21"/>
        </w:rPr>
        <w:t>Dense, overworked market slides or speculative TAM graphics</w:t>
      </w:r>
    </w:p>
    <w:p>
      <w:pPr>
        <w:pStyle w:val="Heading1"/>
      </w:pPr>
      <w:r>
        <w:t>7. Blind vs. Named Teasers</w:t>
      </w:r>
    </w:p>
    <w:p>
      <w:pPr/>
      <w:r>
        <w:t>Blind teasers are useful when you want controlled outreach without disclosing the company’s identity too early. In those cases, avoid naming the company, disclosing uniquely identifying customers, or giving exact figures that would reveal the business in a small market.</w:t>
      </w:r>
    </w:p>
    <w:p>
      <w:pPr/>
      <w:r>
        <w:t>Named teasers are stronger when confidentiality is manageable or outreach is targeted. They benefit from sharper company claims, exact performance metrics, and customer logos where permitted.</w:t>
      </w:r>
    </w:p>
    <w:p>
      <w:pPr/>
      <w:r>
        <w:rPr>
          <w:rFonts w:ascii="Arial" w:hAnsi="Arial"/>
          <w:b/>
          <w:i w:val="0"/>
          <w:color w:val="1F3756"/>
          <w:sz w:val="21"/>
        </w:rPr>
        <w:t>In practice, the strongest early-stage teasers are often mostly blind but highly specific.</w:t>
      </w:r>
    </w:p>
    <w:p>
      <w:pPr>
        <w:pStyle w:val="Heading1"/>
      </w:pPr>
      <w:r>
        <w:t>8. Final Checklist</w:t>
      </w:r>
    </w:p>
    <w:p>
      <w:pPr/>
      <w:r>
        <w:t>Before sending the teaser, make sure a recipient can answer each of the following questions in under two pages:</w:t>
      </w:r>
    </w:p>
    <w:tbl>
      <w:tblPr>
        <w:tblStyle w:val="TableGrid"/>
        <w:tblW w:type="auto" w:w="0"/>
        <w:jc w:val="center"/>
        <w:tblLayout w:type="fixed"/>
        <w:tblLook w:firstColumn="1" w:firstRow="1" w:lastColumn="0" w:lastRow="0" w:noHBand="0" w:noVBand="1" w:val="04A0"/>
      </w:tblPr>
      <w:tblGrid>
        <w:gridCol w:w="4968"/>
        <w:gridCol w:w="4968"/>
      </w:tblGrid>
      <w:tr>
        <w:tc>
          <w:tcPr>
            <w:tcW w:type="dxa" w:w="792"/>
            <w:vAlign w:val="center"/>
            <w:shd w:fill="F7F9FC"/>
          </w:tcPr>
          <w:p>
            <w:pPr>
              <w:spacing w:after="0" w:line="252" w:lineRule="auto"/>
              <w:jc w:val="center"/>
            </w:pPr>
            <w:r/>
            <w:r>
              <w:rPr>
                <w:rFonts w:ascii="Arial" w:hAnsi="Arial"/>
                <w:b w:val="0"/>
                <w:i w:val="0"/>
                <w:color w:val="1F3756"/>
                <w:sz w:val="24"/>
              </w:rPr>
              <w:t>□</w:t>
            </w:r>
          </w:p>
        </w:tc>
        <w:tc>
          <w:tcPr>
            <w:tcW w:type="dxa" w:w="8424"/>
            <w:vAlign w:val="center"/>
            <w:shd w:fill="F7F9FC"/>
          </w:tcPr>
          <w:p>
            <w:pPr>
              <w:spacing w:after="0" w:line="252" w:lineRule="auto"/>
              <w:jc w:val="left"/>
            </w:pPr>
            <w:r/>
            <w:r>
              <w:rPr>
                <w:rFonts w:ascii="Arial" w:hAnsi="Arial"/>
                <w:b w:val="0"/>
                <w:i w:val="0"/>
                <w:color w:val="000000"/>
                <w:sz w:val="20"/>
              </w:rPr>
              <w:t>What does the company do?</w:t>
            </w:r>
          </w:p>
        </w:tc>
      </w:tr>
      <w:tr>
        <w:tc>
          <w:tcPr>
            <w:tcW w:type="dxa" w:w="792"/>
            <w:vAlign w:val="center"/>
          </w:tcPr>
          <w:p>
            <w:pPr>
              <w:spacing w:after="0" w:line="252" w:lineRule="auto"/>
              <w:jc w:val="center"/>
            </w:pPr>
            <w:r/>
            <w:r>
              <w:rPr>
                <w:rFonts w:ascii="Arial" w:hAnsi="Arial"/>
                <w:b w:val="0"/>
                <w:i w:val="0"/>
                <w:color w:val="1F3756"/>
                <w:sz w:val="24"/>
              </w:rPr>
              <w:t>□</w:t>
            </w:r>
          </w:p>
        </w:tc>
        <w:tc>
          <w:tcPr>
            <w:tcW w:type="dxa" w:w="8424"/>
            <w:vAlign w:val="center"/>
          </w:tcPr>
          <w:p>
            <w:pPr>
              <w:spacing w:after="0" w:line="252" w:lineRule="auto"/>
              <w:jc w:val="left"/>
            </w:pPr>
            <w:r/>
            <w:r>
              <w:rPr>
                <w:rFonts w:ascii="Arial" w:hAnsi="Arial"/>
                <w:b w:val="0"/>
                <w:i w:val="0"/>
                <w:color w:val="000000"/>
                <w:sz w:val="20"/>
              </w:rPr>
              <w:t>Who buys it and why do they stay?</w:t>
            </w:r>
          </w:p>
        </w:tc>
      </w:tr>
      <w:tr>
        <w:tc>
          <w:tcPr>
            <w:tcW w:type="dxa" w:w="792"/>
            <w:vAlign w:val="center"/>
            <w:shd w:fill="F7F9FC"/>
          </w:tcPr>
          <w:p>
            <w:pPr>
              <w:spacing w:after="0" w:line="252" w:lineRule="auto"/>
              <w:jc w:val="center"/>
            </w:pPr>
            <w:r/>
            <w:r>
              <w:rPr>
                <w:rFonts w:ascii="Arial" w:hAnsi="Arial"/>
                <w:b w:val="0"/>
                <w:i w:val="0"/>
                <w:color w:val="1F3756"/>
                <w:sz w:val="24"/>
              </w:rPr>
              <w:t>□</w:t>
            </w:r>
          </w:p>
        </w:tc>
        <w:tc>
          <w:tcPr>
            <w:tcW w:type="dxa" w:w="8424"/>
            <w:vAlign w:val="center"/>
            <w:shd w:fill="F7F9FC"/>
          </w:tcPr>
          <w:p>
            <w:pPr>
              <w:spacing w:after="0" w:line="252" w:lineRule="auto"/>
              <w:jc w:val="left"/>
            </w:pPr>
            <w:r/>
            <w:r>
              <w:rPr>
                <w:rFonts w:ascii="Arial" w:hAnsi="Arial"/>
                <w:b w:val="0"/>
                <w:i w:val="0"/>
                <w:color w:val="000000"/>
                <w:sz w:val="20"/>
              </w:rPr>
              <w:t>Why is it differentiated?</w:t>
            </w:r>
          </w:p>
        </w:tc>
      </w:tr>
      <w:tr>
        <w:tc>
          <w:tcPr>
            <w:tcW w:type="dxa" w:w="792"/>
            <w:vAlign w:val="center"/>
          </w:tcPr>
          <w:p>
            <w:pPr>
              <w:spacing w:after="0" w:line="252" w:lineRule="auto"/>
              <w:jc w:val="center"/>
            </w:pPr>
            <w:r/>
            <w:r>
              <w:rPr>
                <w:rFonts w:ascii="Arial" w:hAnsi="Arial"/>
                <w:b w:val="0"/>
                <w:i w:val="0"/>
                <w:color w:val="1F3756"/>
                <w:sz w:val="24"/>
              </w:rPr>
              <w:t>□</w:t>
            </w:r>
          </w:p>
        </w:tc>
        <w:tc>
          <w:tcPr>
            <w:tcW w:type="dxa" w:w="8424"/>
            <w:vAlign w:val="center"/>
          </w:tcPr>
          <w:p>
            <w:pPr>
              <w:spacing w:after="0" w:line="252" w:lineRule="auto"/>
              <w:jc w:val="left"/>
            </w:pPr>
            <w:r/>
            <w:r>
              <w:rPr>
                <w:rFonts w:ascii="Arial" w:hAnsi="Arial"/>
                <w:b w:val="0"/>
                <w:i w:val="0"/>
                <w:color w:val="000000"/>
                <w:sz w:val="20"/>
              </w:rPr>
              <w:t>How large and how fast-growing is it?</w:t>
            </w:r>
          </w:p>
        </w:tc>
      </w:tr>
      <w:tr>
        <w:tc>
          <w:tcPr>
            <w:tcW w:type="dxa" w:w="792"/>
            <w:vAlign w:val="center"/>
            <w:shd w:fill="F7F9FC"/>
          </w:tcPr>
          <w:p>
            <w:pPr>
              <w:spacing w:after="0" w:line="252" w:lineRule="auto"/>
              <w:jc w:val="center"/>
            </w:pPr>
            <w:r/>
            <w:r>
              <w:rPr>
                <w:rFonts w:ascii="Arial" w:hAnsi="Arial"/>
                <w:b w:val="0"/>
                <w:i w:val="0"/>
                <w:color w:val="1F3756"/>
                <w:sz w:val="24"/>
              </w:rPr>
              <w:t>□</w:t>
            </w:r>
          </w:p>
        </w:tc>
        <w:tc>
          <w:tcPr>
            <w:tcW w:type="dxa" w:w="8424"/>
            <w:vAlign w:val="center"/>
            <w:shd w:fill="F7F9FC"/>
          </w:tcPr>
          <w:p>
            <w:pPr>
              <w:spacing w:after="0" w:line="252" w:lineRule="auto"/>
              <w:jc w:val="left"/>
            </w:pPr>
            <w:r/>
            <w:r>
              <w:rPr>
                <w:rFonts w:ascii="Arial" w:hAnsi="Arial"/>
                <w:b w:val="0"/>
                <w:i w:val="0"/>
                <w:color w:val="000000"/>
                <w:sz w:val="20"/>
              </w:rPr>
              <w:t>Is the revenue base high quality?</w:t>
            </w:r>
          </w:p>
        </w:tc>
      </w:tr>
      <w:tr>
        <w:tc>
          <w:tcPr>
            <w:tcW w:type="dxa" w:w="792"/>
            <w:vAlign w:val="center"/>
          </w:tcPr>
          <w:p>
            <w:pPr>
              <w:spacing w:after="0" w:line="252" w:lineRule="auto"/>
              <w:jc w:val="center"/>
            </w:pPr>
            <w:r/>
            <w:r>
              <w:rPr>
                <w:rFonts w:ascii="Arial" w:hAnsi="Arial"/>
                <w:b w:val="0"/>
                <w:i w:val="0"/>
                <w:color w:val="1F3756"/>
                <w:sz w:val="24"/>
              </w:rPr>
              <w:t>□</w:t>
            </w:r>
          </w:p>
        </w:tc>
        <w:tc>
          <w:tcPr>
            <w:tcW w:type="dxa" w:w="8424"/>
            <w:vAlign w:val="center"/>
          </w:tcPr>
          <w:p>
            <w:pPr>
              <w:spacing w:after="0" w:line="252" w:lineRule="auto"/>
              <w:jc w:val="left"/>
            </w:pPr>
            <w:r/>
            <w:r>
              <w:rPr>
                <w:rFonts w:ascii="Arial" w:hAnsi="Arial"/>
                <w:b w:val="0"/>
                <w:i w:val="0"/>
                <w:color w:val="000000"/>
                <w:sz w:val="20"/>
              </w:rPr>
              <w:t>Why is the opportunity compelling right now?</w:t>
            </w:r>
          </w:p>
        </w:tc>
      </w:tr>
      <w:tr>
        <w:tc>
          <w:tcPr>
            <w:tcW w:type="dxa" w:w="792"/>
            <w:vAlign w:val="center"/>
            <w:shd w:fill="F7F9FC"/>
          </w:tcPr>
          <w:p>
            <w:pPr>
              <w:spacing w:after="0" w:line="252" w:lineRule="auto"/>
              <w:jc w:val="center"/>
            </w:pPr>
            <w:r/>
            <w:r>
              <w:rPr>
                <w:rFonts w:ascii="Arial" w:hAnsi="Arial"/>
                <w:b w:val="0"/>
                <w:i w:val="0"/>
                <w:color w:val="1F3756"/>
                <w:sz w:val="24"/>
              </w:rPr>
              <w:t>□</w:t>
            </w:r>
          </w:p>
        </w:tc>
        <w:tc>
          <w:tcPr>
            <w:tcW w:type="dxa" w:w="8424"/>
            <w:vAlign w:val="center"/>
            <w:shd w:fill="F7F9FC"/>
          </w:tcPr>
          <w:p>
            <w:pPr>
              <w:spacing w:after="0" w:line="252" w:lineRule="auto"/>
              <w:jc w:val="left"/>
            </w:pPr>
            <w:r/>
            <w:r>
              <w:rPr>
                <w:rFonts w:ascii="Arial" w:hAnsi="Arial"/>
                <w:b w:val="0"/>
                <w:i w:val="0"/>
                <w:color w:val="000000"/>
                <w:sz w:val="20"/>
              </w:rPr>
              <w:t>What could a new investor or acquirer do with it next?</w:t>
            </w:r>
          </w:p>
        </w:tc>
      </w:tr>
    </w:tbl>
    <w:p/>
    <w:p>
      <w:pPr>
        <w:pStyle w:val="Heading1"/>
      </w:pPr>
      <w:r>
        <w:t>Bottom line</w:t>
      </w:r>
    </w:p>
    <w:p>
      <w:pPr/>
      <w:r>
        <w:rPr>
          <w:rFonts w:ascii="Arial" w:hAnsi="Arial"/>
          <w:b w:val="0"/>
          <w:i w:val="0"/>
          <w:sz w:val="21"/>
        </w:rPr>
        <w:t xml:space="preserve">A world-class teaser is not a compressed deck. </w:t>
      </w:r>
      <w:r>
        <w:rPr>
          <w:rFonts w:ascii="Arial" w:hAnsi="Arial"/>
          <w:b/>
          <w:i w:val="0"/>
          <w:color w:val="1F3756"/>
          <w:sz w:val="21"/>
        </w:rPr>
        <w:t>It is a high-precision invitation to diligence.</w:t>
      </w:r>
      <w:r>
        <w:rPr>
          <w:rFonts w:ascii="Arial" w:hAnsi="Arial"/>
          <w:b w:val="0"/>
          <w:i w:val="0"/>
          <w:sz w:val="21"/>
        </w:rPr>
        <w:t xml:space="preserve"> When it is written in investor language, anchored in proof, and edited with restraint, it creates the only reaction that matters: “I need to see more.”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787878"/>
        <w:sz w:val="17"/>
      </w:rPr>
      <w:t>Teaser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Georgia" w:hAnsi="Georgia"/>
      <w:b/>
      <w:bCs/>
      <w:color w:val="1F3756"/>
      <w:sz w:val="28"/>
      <w:szCs w:val="28"/>
    </w:rPr>
  </w:style>
  <w:style w:type="paragraph" w:styleId="Heading2">
    <w:name w:val="heading 2"/>
    <w:basedOn w:val="Normal"/>
    <w:next w:val="Normal"/>
    <w:link w:val="Heading2Char"/>
    <w:uiPriority w:val="9"/>
    <w:unhideWhenUsed/>
    <w:qFormat/>
    <w:rsid w:val="00FC693F"/>
    <w:pPr>
      <w:keepNext/>
      <w:keepLines/>
      <w:spacing w:before="140" w:after="20"/>
      <w:outlineLvl w:val="1"/>
    </w:pPr>
    <w:rPr>
      <w:rFonts w:asciiTheme="majorHAnsi" w:eastAsiaTheme="majorEastAsia" w:hAnsiTheme="majorHAnsi" w:cstheme="majorBidi" w:ascii="Georgia" w:hAnsi="Georgia"/>
      <w:b/>
      <w:bCs/>
      <w:color w:val="1F375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Georgia" w:hAnsi="Georgia"/>
      <w:b/>
      <w:color w:val="1F37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pPr>
      <w:spacing w:after="200"/>
    </w:pPr>
    <w:rPr>
      <w:rFonts w:ascii="Arial" w:hAnsi="Arial"/>
      <w:color w:val="59595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