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jc w:val="center"/>
      </w:pPr>
      <w:r>
        <w:rPr>
          <w:rFonts w:ascii="Arial" w:cs="Arial" w:eastAsia="Arial" w:hAnsi="Arial"/>
          <w:b/>
          <w:bCs/>
          <w:caps/>
          <w:color w:val="2E75B6"/>
          <w:sz w:val="22"/>
          <w:szCs w:val="22"/>
        </w:rPr>
        <w:t xml:space="preserve">THE INVESTMENT BANKER’S GUIDE TO</w:t>
      </w:r>
    </w:p>
    <w:p>
      <w:pPr>
        <w:spacing w:after="60"/>
        <w:jc w:val="center"/>
      </w:pPr>
      <w:r>
        <w:rPr>
          <w:rFonts w:ascii="Arial" w:cs="Arial" w:eastAsia="Arial" w:hAnsi="Arial"/>
          <w:b/>
          <w:bCs/>
          <w:color w:val="1B2A4A"/>
          <w:sz w:val="52"/>
          <w:szCs w:val="52"/>
        </w:rPr>
        <w:t xml:space="preserve">Crafting the Perfect</w:t>
      </w:r>
    </w:p>
    <w:p>
      <w:pPr>
        <w:spacing w:after="200"/>
        <w:jc w:val="center"/>
      </w:pPr>
      <w:r>
        <w:rPr>
          <w:rFonts w:ascii="Arial" w:cs="Arial" w:eastAsia="Arial" w:hAnsi="Arial"/>
          <w:b/>
          <w:bCs/>
          <w:color w:val="2E75B6"/>
          <w:sz w:val="52"/>
          <w:szCs w:val="52"/>
        </w:rPr>
        <w:t xml:space="preserve">Deal Teaser</w:t>
      </w:r>
    </w:p>
    <w:p>
      <w:pPr>
        <w:pBdr>
          <w:top w:val="single" w:color="2E75B6" w:sz="4" w:space="8"/>
          <w:bottom w:val="single" w:color="2E75B6" w:sz="4" w:space="8"/>
        </w:pBdr>
        <w:spacing w:after="200" w:before="200"/>
        <w:jc w:val="center"/>
      </w:pPr>
      <w:r>
        <w:rPr>
          <w:rFonts w:ascii="Arial" w:cs="Arial" w:eastAsia="Arial" w:hAnsi="Arial"/>
          <w:i/>
          <w:iCs/>
          <w:color w:val="666666"/>
          <w:sz w:val="24"/>
          <w:szCs w:val="24"/>
        </w:rPr>
        <w:t xml:space="preserve">A First-Principles Framework for 1–2 Page Teasers That Get NDAs Signed</w:t>
      </w:r>
    </w:p>
    <w:p>
      <w:pPr>
        <w:spacing w:after="400"/>
      </w:pPr>
    </w:p>
    <w:p>
      <w:pPr>
        <w:spacing w:after="80"/>
        <w:jc w:val="center"/>
      </w:pPr>
      <w:r>
        <w:rPr>
          <w:rFonts w:ascii="Arial" w:cs="Arial" w:eastAsia="Arial" w:hAnsi="Arial"/>
          <w:color w:val="666666"/>
          <w:sz w:val="22"/>
          <w:szCs w:val="22"/>
        </w:rPr>
        <w:t xml:space="preserve">Prepared for Advisory Teams</w:t>
      </w:r>
    </w:p>
    <w:p>
      <w:pPr>
        <w:jc w:val="center"/>
      </w:pPr>
      <w:r>
        <w:rPr>
          <w:rFonts w:ascii="Arial" w:cs="Arial" w:eastAsia="Arial" w:hAnsi="Arial"/>
          <w:color w:val="666666"/>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B2A4A"/>
          <w:sz w:val="36"/>
          <w:szCs w:val="36"/>
        </w:rPr>
        <w:t xml:space="preserve">The Single Job of a Teaser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none" w:color="FFFFFF" w:sz="0"/>
              <w:bottom w:val="none" w:color="FFFFFF" w:sz="0"/>
              <w:right w:val="none" w:color="FFFFFF" w:sz="0"/>
            </w:tcBorders>
            <w:shd w:fill="EAF1F8" w:val="clear"/>
            <w:tcMar>
              <w:top w:type="dxa" w:w="200"/>
              <w:left w:type="dxa" w:w="240"/>
              <w:bottom w:type="dxa" w:w="200"/>
              <w:right w:type="dxa" w:w="240"/>
            </w:tcMar>
          </w:tcPr>
          <w:p>
            <w:pPr>
              <w:jc w:val="center"/>
            </w:pPr>
            <w:r>
              <w:rPr>
                <w:rFonts w:ascii="Arial" w:cs="Arial" w:eastAsia="Arial" w:hAnsi="Arial"/>
                <w:b/>
                <w:bCs/>
                <w:color w:val="1B2A4A"/>
                <w:sz w:val="24"/>
                <w:szCs w:val="24"/>
              </w:rPr>
              <w:t xml:space="preserve">Get a qualified buyer or investor interested enough to sign the NDA.</w:t>
            </w:r>
          </w:p>
          <w:p>
            <w:pPr>
              <w:spacing w:before="80"/>
              <w:jc w:val="center"/>
            </w:pPr>
            <w:r>
              <w:rPr>
                <w:rFonts w:ascii="Arial" w:cs="Arial" w:eastAsia="Arial" w:hAnsi="Arial"/>
                <w:i/>
                <w:iCs/>
                <w:color w:val="666666"/>
                <w:sz w:val="21"/>
                <w:szCs w:val="21"/>
              </w:rPr>
              <w:t xml:space="preserve">That’s it. Every word on the page should serve this single goal.</w:t>
            </w:r>
          </w:p>
        </w:tc>
      </w:tr>
    </w:tbl>
    <w:p>
      <w:pPr>
        <w:spacing w:after="100"/>
      </w:pPr>
    </w:p>
    <w:p>
      <w:pPr>
        <w:pStyle w:val="Heading1"/>
      </w:pPr>
      <w:r>
        <w:rPr>
          <w:rFonts w:ascii="Arial" w:cs="Arial" w:eastAsia="Arial" w:hAnsi="Arial"/>
          <w:b/>
          <w:bCs/>
          <w:color w:val="1B2A4A"/>
          <w:sz w:val="36"/>
          <w:szCs w:val="36"/>
        </w:rPr>
        <w:t xml:space="preserve">The Five Questions Your Teaser Must Answer</w:t>
      </w:r>
    </w:p>
    <w:p>
      <w:pPr>
        <w:spacing w:after="150" w:before="0" w:line="276"/>
        <w:jc w:val="left"/>
      </w:pPr>
      <w:r>
        <w:rPr>
          <w:rFonts w:ascii="Arial" w:cs="Arial" w:eastAsia="Arial" w:hAnsi="Arial"/>
          <w:color w:val="333333"/>
          <w:sz w:val="21"/>
          <w:szCs w:val="21"/>
        </w:rPr>
        <w:t xml:space="preserve">A reader will spend under 60 seconds on your teaser. In that time, they need to mentally answer five questions. Structure every teaser around these:</w:t>
      </w:r>
    </w:p>
    <w:p>
      <w:pPr>
        <w:spacing w:after="60"/>
      </w:pPr>
    </w:p>
    <w:p>
      <w:pPr>
        <w:spacing w:after="150" w:before="300"/>
      </w:pPr>
      <w:r>
        <w:rPr>
          <w:rFonts w:ascii="Arial" w:cs="Arial" w:eastAsia="Arial" w:hAnsi="Arial"/>
          <w:b/>
          <w:bCs/>
          <w:color w:val="2E75B6"/>
          <w:sz w:val="26"/>
          <w:szCs w:val="26"/>
        </w:rPr>
        <w:t xml:space="preserve">1. </w:t>
      </w:r>
      <w:r>
        <w:rPr>
          <w:rFonts w:ascii="Arial" w:cs="Arial" w:eastAsia="Arial" w:hAnsi="Arial"/>
          <w:b/>
          <w:bCs/>
          <w:color w:val="1B2A4A"/>
          <w:sz w:val="26"/>
          <w:szCs w:val="26"/>
        </w:rPr>
        <w:t xml:space="preserve">“What is this?”</w:t>
      </w:r>
    </w:p>
    <w:p>
      <w:pPr>
        <w:spacing w:after="150" w:before="0" w:line="276"/>
        <w:jc w:val="left"/>
      </w:pPr>
      <w:r>
        <w:rPr>
          <w:rFonts w:ascii="Arial" w:cs="Arial" w:eastAsia="Arial" w:hAnsi="Arial"/>
          <w:color w:val="333333"/>
          <w:sz w:val="21"/>
          <w:szCs w:val="21"/>
        </w:rPr>
        <w:t xml:space="preserve">Sector, business model, and geography. Enough to place the company in a mental bucket without naming it. Write a crisp 2–3 line description that sounds specific, not generic.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CEC" w:val="clear"/>
            <w:tcMar>
              <w:top w:type="dxa" w:w="80"/>
              <w:left w:type="dxa" w:w="120"/>
              <w:bottom w:type="dxa" w:w="80"/>
              <w:right w:type="dxa" w:w="120"/>
            </w:tcMar>
          </w:tcPr>
          <w:p>
            <w:pPr>
              <w:spacing w:after="60"/>
            </w:pPr>
            <w:r>
              <w:rPr>
                <w:rFonts w:ascii="Arial" w:cs="Arial" w:eastAsia="Arial" w:hAnsi="Arial"/>
                <w:b/>
                <w:bCs/>
                <w:color w:val="C0392B"/>
                <w:sz w:val="19"/>
                <w:szCs w:val="19"/>
              </w:rPr>
              <w:t xml:space="preserve">Weak</w:t>
            </w:r>
          </w:p>
          <w:p>
            <w:r>
              <w:rPr>
                <w:rFonts w:ascii="Arial" w:cs="Arial" w:eastAsia="Arial" w:hAnsi="Arial"/>
                <w:i/>
                <w:iCs/>
                <w:color w:val="555555"/>
                <w:sz w:val="20"/>
                <w:szCs w:val="20"/>
              </w:rPr>
              <w:t xml:space="preserve">“A technology company.”</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rFonts w:ascii="Arial" w:cs="Arial" w:eastAsia="Arial" w:hAnsi="Arial"/>
                <w:b/>
                <w:bCs/>
                <w:color w:val="27AE60"/>
                <w:sz w:val="19"/>
                <w:szCs w:val="19"/>
              </w:rPr>
              <w:t xml:space="preserve">Strong</w:t>
            </w:r>
          </w:p>
          <w:p>
            <w:r>
              <w:rPr>
                <w:rFonts w:ascii="Arial" w:cs="Arial" w:eastAsia="Arial" w:hAnsi="Arial"/>
                <w:i/>
                <w:iCs/>
                <w:color w:val="555555"/>
                <w:sz w:val="20"/>
                <w:szCs w:val="20"/>
              </w:rPr>
              <w:t xml:space="preserve">“A fast-growing B2B SaaS platform serving mid-market logistics companies across Southeast Asia.”</w:t>
            </w:r>
          </w:p>
        </w:tc>
      </w:tr>
    </w:tbl>
    <w:p>
      <w:pPr>
        <w:spacing w:after="80"/>
      </w:pPr>
    </w:p>
    <w:p>
      <w:pPr>
        <w:spacing w:after="150" w:before="300"/>
      </w:pPr>
      <w:r>
        <w:rPr>
          <w:rFonts w:ascii="Arial" w:cs="Arial" w:eastAsia="Arial" w:hAnsi="Arial"/>
          <w:b/>
          <w:bCs/>
          <w:color w:val="2E75B6"/>
          <w:sz w:val="26"/>
          <w:szCs w:val="26"/>
        </w:rPr>
        <w:t xml:space="preserve">2. </w:t>
      </w:r>
      <w:r>
        <w:rPr>
          <w:rFonts w:ascii="Arial" w:cs="Arial" w:eastAsia="Arial" w:hAnsi="Arial"/>
          <w:b/>
          <w:bCs/>
          <w:color w:val="1B2A4A"/>
          <w:sz w:val="26"/>
          <w:szCs w:val="26"/>
        </w:rPr>
        <w:t xml:space="preserve">“Is it big enough to matter?”</w:t>
      </w:r>
    </w:p>
    <w:p>
      <w:pPr>
        <w:spacing w:after="150" w:before="0" w:line="276"/>
        <w:jc w:val="left"/>
      </w:pPr>
      <w:r>
        <w:rPr>
          <w:rFonts w:ascii="Arial" w:cs="Arial" w:eastAsia="Arial" w:hAnsi="Arial"/>
          <w:color w:val="333333"/>
          <w:sz w:val="21"/>
          <w:szCs w:val="21"/>
        </w:rPr>
        <w:t xml:space="preserve">A tight cluster of 3–5 headline financials: revenue, EBITDA or margin, growth rate (CAGR or YoY), and optionally ARR or gross margin if relevant. These should be the numbers that make someone lean forward. Present them visually using callout boxes or a mini-table — never bury them in prose.</w:t>
      </w:r>
    </w:p>
    <w:p>
      <w:pPr>
        <w:spacing w:after="80"/>
      </w:pPr>
    </w:p>
    <w:p>
      <w:pPr>
        <w:spacing w:after="150" w:before="300"/>
      </w:pPr>
      <w:r>
        <w:rPr>
          <w:rFonts w:ascii="Arial" w:cs="Arial" w:eastAsia="Arial" w:hAnsi="Arial"/>
          <w:b/>
          <w:bCs/>
          <w:color w:val="2E75B6"/>
          <w:sz w:val="26"/>
          <w:szCs w:val="26"/>
        </w:rPr>
        <w:t xml:space="preserve">3. </w:t>
      </w:r>
      <w:r>
        <w:rPr>
          <w:rFonts w:ascii="Arial" w:cs="Arial" w:eastAsia="Arial" w:hAnsi="Arial"/>
          <w:b/>
          <w:bCs/>
          <w:color w:val="1B2A4A"/>
          <w:sz w:val="26"/>
          <w:szCs w:val="26"/>
        </w:rPr>
        <w:t xml:space="preserve">“Why is this interesting?”</w:t>
      </w:r>
    </w:p>
    <w:p>
      <w:pPr>
        <w:spacing w:after="150" w:before="0" w:line="276"/>
        <w:jc w:val="left"/>
      </w:pPr>
      <w:r>
        <w:rPr>
          <w:rFonts w:ascii="Arial" w:cs="Arial" w:eastAsia="Arial" w:hAnsi="Arial"/>
          <w:color w:val="333333"/>
          <w:sz w:val="21"/>
          <w:szCs w:val="21"/>
        </w:rPr>
        <w:t xml:space="preserve">The 3–4 investment highlights that form your equity story. Think: defensible moat, secular tailwind, margin expansion runway, blue-chip client base, recurring revenue, or asset-light model. Each should be one punchy sentence, not a paragraph. These are your “hooks” — the reasons a buyer stops scrolling and starts reading.</w:t>
      </w:r>
    </w:p>
    <w:p>
      <w:pPr>
        <w:spacing w:after="80"/>
      </w:pPr>
    </w:p>
    <w:p>
      <w:pPr>
        <w:spacing w:after="150" w:before="300"/>
      </w:pPr>
      <w:r>
        <w:rPr>
          <w:rFonts w:ascii="Arial" w:cs="Arial" w:eastAsia="Arial" w:hAnsi="Arial"/>
          <w:b/>
          <w:bCs/>
          <w:color w:val="2E75B6"/>
          <w:sz w:val="26"/>
          <w:szCs w:val="26"/>
        </w:rPr>
        <w:t xml:space="preserve">4. </w:t>
      </w:r>
      <w:r>
        <w:rPr>
          <w:rFonts w:ascii="Arial" w:cs="Arial" w:eastAsia="Arial" w:hAnsi="Arial"/>
          <w:b/>
          <w:bCs/>
          <w:color w:val="1B2A4A"/>
          <w:sz w:val="26"/>
          <w:szCs w:val="26"/>
        </w:rPr>
        <w:t xml:space="preserve">“Why now?”</w:t>
      </w:r>
    </w:p>
    <w:p>
      <w:pPr>
        <w:spacing w:after="150" w:before="0" w:line="276"/>
        <w:jc w:val="left"/>
      </w:pPr>
      <w:r>
        <w:rPr>
          <w:rFonts w:ascii="Arial" w:cs="Arial" w:eastAsia="Arial" w:hAnsi="Arial"/>
          <w:color w:val="333333"/>
          <w:sz w:val="21"/>
          <w:szCs w:val="21"/>
        </w:rPr>
        <w:t xml:space="preserve">The transaction rationale. Is the founder seeking growth capital? Partial liquidity? A strategic exit? This tells the reader the seller is serious, the timing is deliberate, and frames their expectations for the process.</w:t>
      </w:r>
    </w:p>
    <w:p>
      <w:pPr>
        <w:spacing w:after="80"/>
      </w:pPr>
    </w:p>
    <w:p>
      <w:pPr>
        <w:spacing w:after="150" w:before="300"/>
      </w:pPr>
      <w:r>
        <w:rPr>
          <w:rFonts w:ascii="Arial" w:cs="Arial" w:eastAsia="Arial" w:hAnsi="Arial"/>
          <w:b/>
          <w:bCs/>
          <w:color w:val="2E75B6"/>
          <w:sz w:val="26"/>
          <w:szCs w:val="26"/>
        </w:rPr>
        <w:t xml:space="preserve">5. </w:t>
      </w:r>
      <w:r>
        <w:rPr>
          <w:rFonts w:ascii="Arial" w:cs="Arial" w:eastAsia="Arial" w:hAnsi="Arial"/>
          <w:b/>
          <w:bCs/>
          <w:color w:val="1B2A4A"/>
          <w:sz w:val="26"/>
          <w:szCs w:val="26"/>
        </w:rPr>
        <w:t xml:space="preserve">“What’s the ask?”</w:t>
      </w:r>
    </w:p>
    <w:p>
      <w:pPr>
        <w:spacing w:after="150" w:before="0" w:line="276"/>
        <w:jc w:val="left"/>
      </w:pPr>
      <w:r>
        <w:rPr>
          <w:rFonts w:ascii="Arial" w:cs="Arial" w:eastAsia="Arial" w:hAnsi="Arial"/>
          <w:color w:val="333333"/>
          <w:sz w:val="21"/>
          <w:szCs w:val="21"/>
        </w:rPr>
        <w:t xml:space="preserve">Transaction type (majority stake, minority stake, full sale, strategic partner) and indicative size or range if appropriate. Be clear and direct — ambiguity here costs you credibility.</w:t>
      </w:r>
    </w:p>
    <w:p>
      <w:pPr>
        <w:sectPr>
          <w:pgSz w:w="12240" w:h="15840" w:orient="portrait"/>
          <w:pgMar w:top="1440" w:right="1440" w:bottom="1080" w:left="1440" w:header="708" w:footer="708" w:gutter="0"/>
          <w:pgNumType/>
          <w:docGrid w:linePitch="360"/>
        </w:sectPr>
      </w:pPr>
    </w:p>
    <w:p>
      <w:pPr>
        <w:pStyle w:val="Heading1"/>
      </w:pPr>
      <w:r>
        <w:rPr>
          <w:rFonts w:ascii="Arial" w:cs="Arial" w:eastAsia="Arial" w:hAnsi="Arial"/>
          <w:b/>
          <w:bCs/>
          <w:color w:val="1B2A4A"/>
          <w:sz w:val="36"/>
          <w:szCs w:val="36"/>
        </w:rPr>
        <w:t xml:space="preserve">What Separates Great Teasers from Mediocre Ones</w:t>
      </w:r>
    </w:p>
    <w:p>
      <w:pPr>
        <w:spacing w:after="150" w:before="0" w:line="276"/>
        <w:jc w:val="left"/>
      </w:pPr>
      <w:r>
        <w:rPr>
          <w:rFonts w:ascii="Arial" w:cs="Arial" w:eastAsia="Arial" w:hAnsi="Arial"/>
          <w:color w:val="333333"/>
          <w:sz w:val="21"/>
          <w:szCs w:val="21"/>
        </w:rPr>
        <w:t xml:space="preserve">The best teasers create tension between what’s revealed and what’s withheld. You want the reader thinking: “I need to know which company this is.” That means being specific enough to be credible (exact financials, precise sector positioning) but anonymous enough to protect the client.</w:t>
      </w:r>
    </w:p>
    <w:p>
      <w:pPr>
        <w:spacing w:after="60"/>
      </w:pPr>
    </w:p>
    <w:p>
      <w:pPr>
        <w:pStyle w:val="Heading2"/>
      </w:pPr>
      <w:r>
        <w:rPr>
          <w:rFonts w:ascii="Arial" w:cs="Arial" w:eastAsia="Arial" w:hAnsi="Arial"/>
          <w:b/>
          <w:bCs/>
          <w:color w:val="2E75B6"/>
          <w:sz w:val="28"/>
          <w:szCs w:val="28"/>
        </w:rPr>
        <w:t xml:space="preserve">Tactical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Tactic</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How to Execute</w:t>
            </w:r>
          </w:p>
        </w:tc>
      </w:tr>
      <w:tr>
        <w:tc>
          <w:tcPr>
            <w:tcW w:type="dxa" w:w="2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bCs/>
                <w:color w:val="1B2A4A"/>
                <w:sz w:val="20"/>
                <w:szCs w:val="20"/>
              </w:rPr>
              <w:t xml:space="preserve">Lead with the Hook</w:t>
            </w:r>
          </w:p>
        </w:tc>
        <w:tc>
          <w:tcPr>
            <w:tcW w:type="dxa" w:w="65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line="264"/>
            </w:pPr>
            <w:r>
              <w:rPr>
                <w:rFonts w:ascii="Arial" w:cs="Arial" w:eastAsia="Arial" w:hAnsi="Arial"/>
                <w:color w:val="333333"/>
                <w:sz w:val="20"/>
                <w:szCs w:val="20"/>
              </w:rPr>
              <w:t xml:space="preserve">Open with the single most compelling data point. E.g., “45% revenue CAGR over 3 years” or “90%+ client retention since inception.” This is your headline — it earns the reader’s next 30 seconds.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Visual Hierarchy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4"/>
            </w:pPr>
            <w:r>
              <w:rPr>
                <w:rFonts w:ascii="Arial" w:cs="Arial" w:eastAsia="Arial" w:hAnsi="Arial"/>
                <w:color w:val="333333"/>
                <w:sz w:val="20"/>
                <w:szCs w:val="20"/>
              </w:rPr>
              <w:t xml:space="preserve">Use clean formatting so a PE associate scanning 20 teasers that morning stops on yours. Key metrics should jump off the page, not hide in paragraphs. White space is your friend.</w:t>
            </w:r>
          </w:p>
        </w:tc>
      </w:tr>
      <w:tr>
        <w:tc>
          <w:tcPr>
            <w:tcW w:type="dxa" w:w="2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bCs/>
                <w:color w:val="1B2A4A"/>
                <w:sz w:val="20"/>
                <w:szCs w:val="20"/>
              </w:rPr>
              <w:t xml:space="preserve">Specificity Without Identity</w:t>
            </w:r>
          </w:p>
        </w:tc>
        <w:tc>
          <w:tcPr>
            <w:tcW w:type="dxa" w:w="65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line="264"/>
            </w:pPr>
            <w:r>
              <w:rPr>
                <w:rFonts w:ascii="Arial" w:cs="Arial" w:eastAsia="Arial" w:hAnsi="Arial"/>
                <w:color w:val="333333"/>
                <w:sz w:val="20"/>
                <w:szCs w:val="20"/>
              </w:rPr>
              <w:t xml:space="preserve">Use exact financials and precise sector language, but avoid details that could identify the company (founder names, exact founding year, unique product names, specific client names).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Credible Anonymity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4"/>
            </w:pPr>
            <w:r>
              <w:rPr>
                <w:rFonts w:ascii="Arial" w:cs="Arial" w:eastAsia="Arial" w:hAnsi="Arial"/>
                <w:color w:val="333333"/>
                <w:sz w:val="20"/>
                <w:szCs w:val="20"/>
              </w:rPr>
              <w:t xml:space="preserve">Use a codename (e.g., “Project Atlas”). Describe the company’s position in the market without naming it. Reference client quality by type (“Fortune 500 enterprises”) rather than by name.</w:t>
            </w:r>
          </w:p>
        </w:tc>
      </w:tr>
      <w:tr>
        <w:tc>
          <w:tcPr>
            <w:tcW w:type="dxa" w:w="2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bCs/>
                <w:color w:val="1B2A4A"/>
                <w:sz w:val="20"/>
                <w:szCs w:val="20"/>
              </w:rPr>
              <w:t xml:space="preserve">Clear Call to Action</w:t>
            </w:r>
          </w:p>
        </w:tc>
        <w:tc>
          <w:tcPr>
            <w:tcW w:type="dxa" w:w="65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line="264"/>
            </w:pPr>
            <w:r>
              <w:rPr>
                <w:rFonts w:ascii="Arial" w:cs="Arial" w:eastAsia="Arial" w:hAnsi="Arial"/>
                <w:color w:val="333333"/>
                <w:sz w:val="20"/>
                <w:szCs w:val="20"/>
              </w:rPr>
              <w:t xml:space="preserve">End with an unambiguous next step: “To receive the Confidential Information Memorandum, please contact [Advisor Name] to execute an NDA.” Include direct contact 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Tone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4"/>
            </w:pPr>
            <w:r>
              <w:rPr>
                <w:rFonts w:ascii="Arial" w:cs="Arial" w:eastAsia="Arial" w:hAnsi="Arial"/>
                <w:color w:val="333333"/>
                <w:sz w:val="20"/>
                <w:szCs w:val="20"/>
              </w:rPr>
              <w:t xml:space="preserve">Professional, confident, understated. Never oversell. Let the numbers and the positioning do the work. Avoid superlatives unless they’re backed by data.</w:t>
            </w:r>
          </w:p>
        </w:tc>
      </w:tr>
    </w:tbl>
    <w:p>
      <w:pPr>
        <w:spacing w:after="200"/>
      </w:pPr>
    </w:p>
    <w:p>
      <w:pPr>
        <w:pStyle w:val="Heading1"/>
      </w:pPr>
      <w:r>
        <w:rPr>
          <w:rFonts w:ascii="Arial" w:cs="Arial" w:eastAsia="Arial" w:hAnsi="Arial"/>
          <w:b/>
          <w:bCs/>
          <w:color w:val="1B2A4A"/>
          <w:sz w:val="36"/>
          <w:szCs w:val="36"/>
        </w:rPr>
        <w:t xml:space="preserve">Recommended Teaser Structure</w:t>
      </w:r>
    </w:p>
    <w:p>
      <w:pPr>
        <w:spacing w:after="150" w:before="0" w:line="276"/>
        <w:jc w:val="left"/>
      </w:pPr>
      <w:r>
        <w:rPr>
          <w:rFonts w:ascii="Arial" w:cs="Arial" w:eastAsia="Arial" w:hAnsi="Arial"/>
          <w:color w:val="333333"/>
          <w:sz w:val="21"/>
          <w:szCs w:val="21"/>
        </w:rPr>
        <w:t xml:space="preserve">The following layout works for a clean 1-page teaser or a 2-page spread. Adapt it to the specific deal, but this is the skeleton that the best banks use: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to Include</w:t>
            </w:r>
          </w:p>
        </w:tc>
      </w:tr>
      <w:tr>
        <w:tc>
          <w:tcPr>
            <w:tcW w:type="dxa" w:w="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1</w:t>
            </w:r>
          </w:p>
        </w:tc>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bCs/>
                <w:color w:val="1B2A4A"/>
                <w:sz w:val="20"/>
                <w:szCs w:val="20"/>
              </w:rPr>
              <w:t xml:space="preserve">Header</w:t>
            </w:r>
          </w:p>
        </w:tc>
        <w:tc>
          <w:tcPr>
            <w:tcW w:type="dxa" w:w="61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line="264"/>
            </w:pPr>
            <w:r>
              <w:rPr>
                <w:rFonts w:ascii="Arial" w:cs="Arial" w:eastAsia="Arial" w:hAnsi="Arial"/>
                <w:color w:val="333333"/>
                <w:sz w:val="20"/>
                <w:szCs w:val="20"/>
              </w:rPr>
              <w:t xml:space="preserve">Project codename, transaction type (e.g., “Growth Equity Opportunity”), advisor logo and branding. Set the tone immediately.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Company Snapshot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4"/>
            </w:pPr>
            <w:r>
              <w:rPr>
                <w:rFonts w:ascii="Arial" w:cs="Arial" w:eastAsia="Arial" w:hAnsi="Arial"/>
                <w:color w:val="333333"/>
                <w:sz w:val="20"/>
                <w:szCs w:val="20"/>
              </w:rPr>
              <w:t xml:space="preserve">2–3 sentences covering: what they do, who they serve, where they operate. Specific but anonymous. This is the reader’s orientation paragraph.</w:t>
            </w:r>
          </w:p>
        </w:tc>
      </w:tr>
      <w:tr>
        <w:tc>
          <w:tcPr>
            <w:tcW w:type="dxa" w:w="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3</w:t>
            </w:r>
          </w:p>
        </w:tc>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bCs/>
                <w:color w:val="1B2A4A"/>
                <w:sz w:val="20"/>
                <w:szCs w:val="20"/>
              </w:rPr>
              <w:t xml:space="preserve">Key Metrics</w:t>
            </w:r>
          </w:p>
        </w:tc>
        <w:tc>
          <w:tcPr>
            <w:tcW w:type="dxa" w:w="61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line="264"/>
            </w:pPr>
            <w:r>
              <w:rPr>
                <w:rFonts w:ascii="Arial" w:cs="Arial" w:eastAsia="Arial" w:hAnsi="Arial"/>
                <w:color w:val="333333"/>
                <w:sz w:val="20"/>
                <w:szCs w:val="20"/>
              </w:rPr>
              <w:t xml:space="preserve">A clean visual block with 3–5 metrics: revenue, EBITDA, growth rate, client count, or ARR. Use callout boxes or a formatted mini-table. These numbers must “pop.”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Investment Highlights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4"/>
            </w:pPr>
            <w:r>
              <w:rPr>
                <w:rFonts w:ascii="Arial" w:cs="Arial" w:eastAsia="Arial" w:hAnsi="Arial"/>
                <w:color w:val="333333"/>
                <w:sz w:val="20"/>
                <w:szCs w:val="20"/>
              </w:rPr>
              <w:t xml:space="preserve">3–5 bullet points, each exactly one sentence. These are the equity story hooks: moat, tailwind, margin runway, client quality, recurring revenue.</w:t>
            </w:r>
          </w:p>
        </w:tc>
      </w:tr>
      <w:tr>
        <w:tc>
          <w:tcPr>
            <w:tcW w:type="dxa" w:w="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5</w:t>
            </w:r>
          </w:p>
        </w:tc>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bCs/>
                <w:color w:val="1B2A4A"/>
                <w:sz w:val="20"/>
                <w:szCs w:val="20"/>
              </w:rPr>
              <w:t xml:space="preserve">Transaction Overview</w:t>
            </w:r>
          </w:p>
        </w:tc>
        <w:tc>
          <w:tcPr>
            <w:tcW w:type="dxa" w:w="61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line="264"/>
            </w:pPr>
            <w:r>
              <w:rPr>
                <w:rFonts w:ascii="Arial" w:cs="Arial" w:eastAsia="Arial" w:hAnsi="Arial"/>
                <w:color w:val="333333"/>
                <w:sz w:val="20"/>
                <w:szCs w:val="20"/>
              </w:rPr>
              <w:t xml:space="preserve">What’s on offer (majority/minority/full), indicative size range if appropriate, and timeline expectations. Keep it tight.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Footer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4"/>
            </w:pPr>
            <w:r>
              <w:rPr>
                <w:rFonts w:ascii="Arial" w:cs="Arial" w:eastAsia="Arial" w:hAnsi="Arial"/>
                <w:color w:val="333333"/>
                <w:sz w:val="20"/>
                <w:szCs w:val="20"/>
              </w:rPr>
              <w:t xml:space="preserve">Confidentiality notice, advisor contact info (name, email, phone), and disclaimer. Make the next step frictionless.</w:t>
            </w:r>
          </w:p>
        </w:tc>
      </w:tr>
    </w:tbl>
    <w:p>
      <w:pPr>
        <w:sectPr>
          <w:pgSz w:w="12240" w:h="15840" w:orient="portrait"/>
          <w:pgMar w:top="1440" w:right="1440" w:bottom="1080" w:left="1440" w:header="708" w:footer="708" w:gutter="0"/>
          <w:pgNumType/>
          <w:docGrid w:linePitch="360"/>
        </w:sectPr>
      </w:pPr>
    </w:p>
    <w:p>
      <w:pPr>
        <w:pStyle w:val="Heading1"/>
      </w:pPr>
      <w:r>
        <w:rPr>
          <w:rFonts w:ascii="Arial" w:cs="Arial" w:eastAsia="Arial" w:hAnsi="Arial"/>
          <w:b/>
          <w:bCs/>
          <w:color w:val="1B2A4A"/>
          <w:sz w:val="36"/>
          <w:szCs w:val="36"/>
        </w:rPr>
        <w:t xml:space="preserve">Common Mistakes to Avoid</w:t>
      </w:r>
    </w:p>
    <w:p>
      <w:pPr>
        <w:spacing w:after="180" w:line="264"/>
      </w:pPr>
      <w:r>
        <w:rPr>
          <w:rFonts w:ascii="Arial" w:cs="Arial" w:eastAsia="Arial" w:hAnsi="Arial"/>
          <w:b/>
          <w:bCs/>
          <w:color w:val="C0392B"/>
          <w:sz w:val="21"/>
          <w:szCs w:val="21"/>
        </w:rPr>
        <w:t xml:space="preserve">Being too vague. </w:t>
      </w:r>
      <w:r>
        <w:rPr>
          <w:rFonts w:ascii="Arial" w:cs="Arial" w:eastAsia="Arial" w:hAnsi="Arial"/>
          <w:color w:val="333333"/>
          <w:sz w:val="21"/>
          <w:szCs w:val="21"/>
        </w:rPr>
        <w:t xml:space="preserve">A teaser that reads “A leading company in a growing industry” tells the reader nothing. Specificity builds credibility — use exact numbers, precise sector language, and concrete positioning.</w:t>
      </w:r>
    </w:p>
    <w:p>
      <w:pPr>
        <w:spacing w:after="180" w:line="264"/>
      </w:pPr>
      <w:r>
        <w:rPr>
          <w:rFonts w:ascii="Arial" w:cs="Arial" w:eastAsia="Arial" w:hAnsi="Arial"/>
          <w:b/>
          <w:bCs/>
          <w:color w:val="C0392B"/>
          <w:sz w:val="21"/>
          <w:szCs w:val="21"/>
        </w:rPr>
        <w:t xml:space="preserve">Overselling. </w:t>
      </w:r>
      <w:r>
        <w:rPr>
          <w:rFonts w:ascii="Arial" w:cs="Arial" w:eastAsia="Arial" w:hAnsi="Arial"/>
          <w:color w:val="333333"/>
          <w:sz w:val="21"/>
          <w:szCs w:val="21"/>
        </w:rPr>
        <w:t xml:space="preserve">Superlatives without evidence (“world-class”, “unrivalled”, “best-in-class”) erode trust instantly. Let the data speak. If the numbers are strong, you don’t need adjectives.</w:t>
      </w:r>
    </w:p>
    <w:p>
      <w:pPr>
        <w:spacing w:after="180" w:line="264"/>
      </w:pPr>
      <w:r>
        <w:rPr>
          <w:rFonts w:ascii="Arial" w:cs="Arial" w:eastAsia="Arial" w:hAnsi="Arial"/>
          <w:b/>
          <w:bCs/>
          <w:color w:val="C0392B"/>
          <w:sz w:val="21"/>
          <w:szCs w:val="21"/>
        </w:rPr>
        <w:t xml:space="preserve">Burying the lead. </w:t>
      </w:r>
      <w:r>
        <w:rPr>
          <w:rFonts w:ascii="Arial" w:cs="Arial" w:eastAsia="Arial" w:hAnsi="Arial"/>
          <w:color w:val="333333"/>
          <w:sz w:val="21"/>
          <w:szCs w:val="21"/>
        </w:rPr>
        <w:t xml:space="preserve">If your most compelling metric is on line 8, you’ve already lost half the readers. Lead with the number that makes people lean forward.</w:t>
      </w:r>
    </w:p>
    <w:p>
      <w:pPr>
        <w:spacing w:after="180" w:line="264"/>
      </w:pPr>
      <w:r>
        <w:rPr>
          <w:rFonts w:ascii="Arial" w:cs="Arial" w:eastAsia="Arial" w:hAnsi="Arial"/>
          <w:b/>
          <w:bCs/>
          <w:color w:val="C0392B"/>
          <w:sz w:val="21"/>
          <w:szCs w:val="21"/>
        </w:rPr>
        <w:t xml:space="preserve">Too much information. </w:t>
      </w:r>
      <w:r>
        <w:rPr>
          <w:rFonts w:ascii="Arial" w:cs="Arial" w:eastAsia="Arial" w:hAnsi="Arial"/>
          <w:color w:val="333333"/>
          <w:sz w:val="21"/>
          <w:szCs w:val="21"/>
        </w:rPr>
        <w:t xml:space="preserve">The teaser is not the CIM. It should create curiosity, not satisfy it. If the reader feels they already know everything, there’s no reason to sign the NDA.</w:t>
      </w:r>
    </w:p>
    <w:p>
      <w:pPr>
        <w:spacing w:after="180" w:line="264"/>
      </w:pPr>
      <w:r>
        <w:rPr>
          <w:rFonts w:ascii="Arial" w:cs="Arial" w:eastAsia="Arial" w:hAnsi="Arial"/>
          <w:b/>
          <w:bCs/>
          <w:color w:val="C0392B"/>
          <w:sz w:val="21"/>
          <w:szCs w:val="21"/>
        </w:rPr>
        <w:t xml:space="preserve">No clear next step. </w:t>
      </w:r>
      <w:r>
        <w:rPr>
          <w:rFonts w:ascii="Arial" w:cs="Arial" w:eastAsia="Arial" w:hAnsi="Arial"/>
          <w:color w:val="333333"/>
          <w:sz w:val="21"/>
          <w:szCs w:val="21"/>
        </w:rPr>
        <w:t xml:space="preserve">Every teaser must end with an explicit, frictionless CTA: who to contact, how, and what happens next (NDA → CIM).</w:t>
      </w:r>
    </w:p>
    <w:p>
      <w:pPr>
        <w:spacing w:after="180" w:line="264"/>
      </w:pPr>
      <w:r>
        <w:rPr>
          <w:rFonts w:ascii="Arial" w:cs="Arial" w:eastAsia="Arial" w:hAnsi="Arial"/>
          <w:b/>
          <w:bCs/>
          <w:color w:val="C0392B"/>
          <w:sz w:val="21"/>
          <w:szCs w:val="21"/>
        </w:rPr>
        <w:t xml:space="preserve">Poor formatting. </w:t>
      </w:r>
      <w:r>
        <w:rPr>
          <w:rFonts w:ascii="Arial" w:cs="Arial" w:eastAsia="Arial" w:hAnsi="Arial"/>
          <w:color w:val="333333"/>
          <w:sz w:val="21"/>
          <w:szCs w:val="21"/>
        </w:rPr>
        <w:t xml:space="preserve">Wall-of-text teasers get skipped. A PE associate processing a full pipeline will spend more time on a well-designed page with clear visual hierarchy.</w:t>
      </w:r>
    </w:p>
    <w:p>
      <w:pPr>
        <w:spacing w:after="100"/>
      </w:pPr>
    </w:p>
    <w:p>
      <w:pPr>
        <w:pBdr>
          <w:bottom w:val="single" w:color="2E75B6" w:sz="6" w:space="1"/>
        </w:pBdr>
        <w:spacing w:after="200"/>
      </w:pPr>
    </w:p>
    <w:p>
      <w:pPr>
        <w:pStyle w:val="Heading1"/>
      </w:pPr>
      <w:r>
        <w:rPr>
          <w:rFonts w:ascii="Arial" w:cs="Arial" w:eastAsia="Arial" w:hAnsi="Arial"/>
          <w:b/>
          <w:bCs/>
          <w:color w:val="1B2A4A"/>
          <w:sz w:val="36"/>
          <w:szCs w:val="36"/>
        </w:rPr>
        <w:t xml:space="preserve">Pre-Send Checklist</w:t>
      </w:r>
    </w:p>
    <w:p>
      <w:pPr>
        <w:spacing w:after="150" w:before="0" w:line="276"/>
        <w:jc w:val="left"/>
      </w:pPr>
      <w:r>
        <w:rPr>
          <w:rFonts w:ascii="Arial" w:cs="Arial" w:eastAsia="Arial" w:hAnsi="Arial"/>
          <w:color w:val="333333"/>
          <w:sz w:val="21"/>
          <w:szCs w:val="21"/>
        </w:rPr>
        <w:t xml:space="preserve">Before sending any teaser, run through this quality gate: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120"/>
              <w:bottom w:type="dxa" w:w="60"/>
              <w:right w:type="dxa" w:w="40"/>
            </w:tcMar>
          </w:tcPr>
          <w:p>
            <w:pPr>
              <w:jc w:val="center"/>
            </w:pPr>
            <w:r>
              <w:rPr>
                <w:rFonts w:ascii="Arial" w:cs="Arial" w:eastAsia="Arial" w:hAnsi="Arial"/>
                <w:color w:val="2E75B6"/>
                <w:sz w:val="28"/>
                <w:szCs w:val="28"/>
              </w:rPr>
              <w:t xml:space="preserve">▢</w:t>
            </w:r>
          </w:p>
        </w:tc>
        <w:tc>
          <w:tcPr>
            <w:tcW w:type="dxa" w:w="8760"/>
            <w:tcBorders>
              <w:top w:val="none" w:color="FFFFFF" w:sz="0"/>
              <w:left w:val="none" w:color="FFFFFF" w:sz="0"/>
              <w:bottom w:val="none" w:color="FFFFFF" w:sz="0"/>
              <w:right w:val="none" w:color="FFFFFF" w:sz="0"/>
            </w:tcBorders>
            <w:shd w:fill="EAF1F8" w:val="clear"/>
            <w:tcMar>
              <w:top w:type="dxa" w:w="60"/>
              <w:left w:type="dxa" w:w="120"/>
              <w:bottom w:type="dxa" w:w="60"/>
              <w:right w:type="dxa" w:w="120"/>
            </w:tcMar>
          </w:tcPr>
          <w:p>
            <w:r>
              <w:rPr>
                <w:rFonts w:ascii="Arial" w:cs="Arial" w:eastAsia="Arial" w:hAnsi="Arial"/>
                <w:color w:val="333333"/>
                <w:sz w:val="21"/>
                <w:szCs w:val="21"/>
              </w:rPr>
              <w:t xml:space="preserve">Can a reader identify the sector and business model in under 10 seconds?</w:t>
            </w:r>
          </w:p>
        </w:tc>
      </w:tr>
      <w:tr>
        <w:tc>
          <w:tcPr>
            <w:tcW w:type="dxa" w:w="600"/>
            <w:tcBorders>
              <w:top w:val="none" w:color="FFFFFF" w:sz="0"/>
              <w:left w:val="none" w:color="FFFFFF" w:sz="0"/>
              <w:bottom w:val="none" w:color="FFFFFF" w:sz="0"/>
              <w:right w:val="none" w:color="FFFFFF" w:sz="0"/>
            </w:tcBorders>
            <w:tcMar>
              <w:top w:type="dxa" w:w="60"/>
              <w:left w:type="dxa" w:w="120"/>
              <w:bottom w:type="dxa" w:w="60"/>
              <w:right w:type="dxa" w:w="40"/>
            </w:tcMar>
          </w:tcPr>
          <w:p>
            <w:pPr>
              <w:jc w:val="center"/>
            </w:pPr>
            <w:r>
              <w:rPr>
                <w:rFonts w:ascii="Arial" w:cs="Arial" w:eastAsia="Arial" w:hAnsi="Arial"/>
                <w:color w:val="2E75B6"/>
                <w:sz w:val="28"/>
                <w:szCs w:val="28"/>
              </w:rPr>
              <w:t xml:space="preserve">▢</w:t>
            </w:r>
          </w:p>
        </w:tc>
        <w:tc>
          <w:tcPr>
            <w:tcW w:type="dxa" w:w="8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color w:val="333333"/>
                <w:sz w:val="21"/>
                <w:szCs w:val="21"/>
              </w:rPr>
              <w:t xml:space="preserve">Are the headline financials visible without reading a paragraph?</w:t>
            </w:r>
          </w:p>
        </w:tc>
      </w:tr>
      <w:tr>
        <w:tc>
          <w:tcPr>
            <w:tcW w:type="dxa" w:w="600"/>
            <w:tcBorders>
              <w:top w:val="none" w:color="FFFFFF" w:sz="0"/>
              <w:left w:val="none" w:color="FFFFFF" w:sz="0"/>
              <w:bottom w:val="none" w:color="FFFFFF" w:sz="0"/>
              <w:right w:val="none" w:color="FFFFFF" w:sz="0"/>
            </w:tcBorders>
            <w:tcMar>
              <w:top w:type="dxa" w:w="60"/>
              <w:left w:type="dxa" w:w="120"/>
              <w:bottom w:type="dxa" w:w="60"/>
              <w:right w:type="dxa" w:w="40"/>
            </w:tcMar>
          </w:tcPr>
          <w:p>
            <w:pPr>
              <w:jc w:val="center"/>
            </w:pPr>
            <w:r>
              <w:rPr>
                <w:rFonts w:ascii="Arial" w:cs="Arial" w:eastAsia="Arial" w:hAnsi="Arial"/>
                <w:color w:val="2E75B6"/>
                <w:sz w:val="28"/>
                <w:szCs w:val="28"/>
              </w:rPr>
              <w:t xml:space="preserve">▢</w:t>
            </w:r>
          </w:p>
        </w:tc>
        <w:tc>
          <w:tcPr>
            <w:tcW w:type="dxa" w:w="8760"/>
            <w:tcBorders>
              <w:top w:val="none" w:color="FFFFFF" w:sz="0"/>
              <w:left w:val="none" w:color="FFFFFF" w:sz="0"/>
              <w:bottom w:val="none" w:color="FFFFFF" w:sz="0"/>
              <w:right w:val="none" w:color="FFFFFF" w:sz="0"/>
            </w:tcBorders>
            <w:shd w:fill="EAF1F8" w:val="clear"/>
            <w:tcMar>
              <w:top w:type="dxa" w:w="60"/>
              <w:left w:type="dxa" w:w="120"/>
              <w:bottom w:type="dxa" w:w="60"/>
              <w:right w:type="dxa" w:w="120"/>
            </w:tcMar>
          </w:tcPr>
          <w:p>
            <w:r>
              <w:rPr>
                <w:rFonts w:ascii="Arial" w:cs="Arial" w:eastAsia="Arial" w:hAnsi="Arial"/>
                <w:color w:val="333333"/>
                <w:sz w:val="21"/>
                <w:szCs w:val="21"/>
              </w:rPr>
              <w:t xml:space="preserve">Does each investment highlight pass the “so what?” test?</w:t>
            </w:r>
          </w:p>
        </w:tc>
      </w:tr>
      <w:tr>
        <w:tc>
          <w:tcPr>
            <w:tcW w:type="dxa" w:w="600"/>
            <w:tcBorders>
              <w:top w:val="none" w:color="FFFFFF" w:sz="0"/>
              <w:left w:val="none" w:color="FFFFFF" w:sz="0"/>
              <w:bottom w:val="none" w:color="FFFFFF" w:sz="0"/>
              <w:right w:val="none" w:color="FFFFFF" w:sz="0"/>
            </w:tcBorders>
            <w:tcMar>
              <w:top w:type="dxa" w:w="60"/>
              <w:left w:type="dxa" w:w="120"/>
              <w:bottom w:type="dxa" w:w="60"/>
              <w:right w:type="dxa" w:w="40"/>
            </w:tcMar>
          </w:tcPr>
          <w:p>
            <w:pPr>
              <w:jc w:val="center"/>
            </w:pPr>
            <w:r>
              <w:rPr>
                <w:rFonts w:ascii="Arial" w:cs="Arial" w:eastAsia="Arial" w:hAnsi="Arial"/>
                <w:color w:val="2E75B6"/>
                <w:sz w:val="28"/>
                <w:szCs w:val="28"/>
              </w:rPr>
              <w:t xml:space="preserve">▢</w:t>
            </w:r>
          </w:p>
        </w:tc>
        <w:tc>
          <w:tcPr>
            <w:tcW w:type="dxa" w:w="8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color w:val="333333"/>
                <w:sz w:val="21"/>
                <w:szCs w:val="21"/>
              </w:rPr>
              <w:t xml:space="preserve">Is the transaction rationale clear and credible?</w:t>
            </w:r>
          </w:p>
        </w:tc>
      </w:tr>
      <w:tr>
        <w:tc>
          <w:tcPr>
            <w:tcW w:type="dxa" w:w="600"/>
            <w:tcBorders>
              <w:top w:val="none" w:color="FFFFFF" w:sz="0"/>
              <w:left w:val="none" w:color="FFFFFF" w:sz="0"/>
              <w:bottom w:val="none" w:color="FFFFFF" w:sz="0"/>
              <w:right w:val="none" w:color="FFFFFF" w:sz="0"/>
            </w:tcBorders>
            <w:tcMar>
              <w:top w:type="dxa" w:w="60"/>
              <w:left w:type="dxa" w:w="120"/>
              <w:bottom w:type="dxa" w:w="60"/>
              <w:right w:type="dxa" w:w="40"/>
            </w:tcMar>
          </w:tcPr>
          <w:p>
            <w:pPr>
              <w:jc w:val="center"/>
            </w:pPr>
            <w:r>
              <w:rPr>
                <w:rFonts w:ascii="Arial" w:cs="Arial" w:eastAsia="Arial" w:hAnsi="Arial"/>
                <w:color w:val="2E75B6"/>
                <w:sz w:val="28"/>
                <w:szCs w:val="28"/>
              </w:rPr>
              <w:t xml:space="preserve">▢</w:t>
            </w:r>
          </w:p>
        </w:tc>
        <w:tc>
          <w:tcPr>
            <w:tcW w:type="dxa" w:w="8760"/>
            <w:tcBorders>
              <w:top w:val="none" w:color="FFFFFF" w:sz="0"/>
              <w:left w:val="none" w:color="FFFFFF" w:sz="0"/>
              <w:bottom w:val="none" w:color="FFFFFF" w:sz="0"/>
              <w:right w:val="none" w:color="FFFFFF" w:sz="0"/>
            </w:tcBorders>
            <w:shd w:fill="EAF1F8" w:val="clear"/>
            <w:tcMar>
              <w:top w:type="dxa" w:w="60"/>
              <w:left w:type="dxa" w:w="120"/>
              <w:bottom w:type="dxa" w:w="60"/>
              <w:right w:type="dxa" w:w="120"/>
            </w:tcMar>
          </w:tcPr>
          <w:p>
            <w:r>
              <w:rPr>
                <w:rFonts w:ascii="Arial" w:cs="Arial" w:eastAsia="Arial" w:hAnsi="Arial"/>
                <w:color w:val="333333"/>
                <w:sz w:val="21"/>
                <w:szCs w:val="21"/>
              </w:rPr>
              <w:t xml:space="preserve">Could anyone identify the company from the information disclosed?</w:t>
            </w:r>
          </w:p>
        </w:tc>
      </w:tr>
      <w:tr>
        <w:tc>
          <w:tcPr>
            <w:tcW w:type="dxa" w:w="600"/>
            <w:tcBorders>
              <w:top w:val="none" w:color="FFFFFF" w:sz="0"/>
              <w:left w:val="none" w:color="FFFFFF" w:sz="0"/>
              <w:bottom w:val="none" w:color="FFFFFF" w:sz="0"/>
              <w:right w:val="none" w:color="FFFFFF" w:sz="0"/>
            </w:tcBorders>
            <w:tcMar>
              <w:top w:type="dxa" w:w="60"/>
              <w:left w:type="dxa" w:w="120"/>
              <w:bottom w:type="dxa" w:w="60"/>
              <w:right w:type="dxa" w:w="40"/>
            </w:tcMar>
          </w:tcPr>
          <w:p>
            <w:pPr>
              <w:jc w:val="center"/>
            </w:pPr>
            <w:r>
              <w:rPr>
                <w:rFonts w:ascii="Arial" w:cs="Arial" w:eastAsia="Arial" w:hAnsi="Arial"/>
                <w:color w:val="2E75B6"/>
                <w:sz w:val="28"/>
                <w:szCs w:val="28"/>
              </w:rPr>
              <w:t xml:space="preserve">▢</w:t>
            </w:r>
          </w:p>
        </w:tc>
        <w:tc>
          <w:tcPr>
            <w:tcW w:type="dxa" w:w="8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color w:val="333333"/>
                <w:sz w:val="21"/>
                <w:szCs w:val="21"/>
              </w:rPr>
              <w:t xml:space="preserve">Is the CTA specific (name + email + phone)?</w:t>
            </w:r>
          </w:p>
        </w:tc>
      </w:tr>
      <w:tr>
        <w:tc>
          <w:tcPr>
            <w:tcW w:type="dxa" w:w="600"/>
            <w:tcBorders>
              <w:top w:val="none" w:color="FFFFFF" w:sz="0"/>
              <w:left w:val="none" w:color="FFFFFF" w:sz="0"/>
              <w:bottom w:val="none" w:color="FFFFFF" w:sz="0"/>
              <w:right w:val="none" w:color="FFFFFF" w:sz="0"/>
            </w:tcBorders>
            <w:tcMar>
              <w:top w:type="dxa" w:w="60"/>
              <w:left w:type="dxa" w:w="120"/>
              <w:bottom w:type="dxa" w:w="60"/>
              <w:right w:type="dxa" w:w="40"/>
            </w:tcMar>
          </w:tcPr>
          <w:p>
            <w:pPr>
              <w:jc w:val="center"/>
            </w:pPr>
            <w:r>
              <w:rPr>
                <w:rFonts w:ascii="Arial" w:cs="Arial" w:eastAsia="Arial" w:hAnsi="Arial"/>
                <w:color w:val="2E75B6"/>
                <w:sz w:val="28"/>
                <w:szCs w:val="28"/>
              </w:rPr>
              <w:t xml:space="preserve">▢</w:t>
            </w:r>
          </w:p>
        </w:tc>
        <w:tc>
          <w:tcPr>
            <w:tcW w:type="dxa" w:w="8760"/>
            <w:tcBorders>
              <w:top w:val="none" w:color="FFFFFF" w:sz="0"/>
              <w:left w:val="none" w:color="FFFFFF" w:sz="0"/>
              <w:bottom w:val="none" w:color="FFFFFF" w:sz="0"/>
              <w:right w:val="none" w:color="FFFFFF" w:sz="0"/>
            </w:tcBorders>
            <w:shd w:fill="EAF1F8" w:val="clear"/>
            <w:tcMar>
              <w:top w:type="dxa" w:w="60"/>
              <w:left w:type="dxa" w:w="120"/>
              <w:bottom w:type="dxa" w:w="60"/>
              <w:right w:type="dxa" w:w="120"/>
            </w:tcMar>
          </w:tcPr>
          <w:p>
            <w:r>
              <w:rPr>
                <w:rFonts w:ascii="Arial" w:cs="Arial" w:eastAsia="Arial" w:hAnsi="Arial"/>
                <w:color w:val="333333"/>
                <w:sz w:val="21"/>
                <w:szCs w:val="21"/>
              </w:rPr>
              <w:t xml:space="preserve">Would you stop scrolling if you saw this in a stack of 20 teasers?</w:t>
            </w:r>
          </w:p>
        </w:tc>
      </w:tr>
      <w:tr>
        <w:tc>
          <w:tcPr>
            <w:tcW w:type="dxa" w:w="600"/>
            <w:tcBorders>
              <w:top w:val="none" w:color="FFFFFF" w:sz="0"/>
              <w:left w:val="none" w:color="FFFFFF" w:sz="0"/>
              <w:bottom w:val="none" w:color="FFFFFF" w:sz="0"/>
              <w:right w:val="none" w:color="FFFFFF" w:sz="0"/>
            </w:tcBorders>
            <w:tcMar>
              <w:top w:type="dxa" w:w="60"/>
              <w:left w:type="dxa" w:w="120"/>
              <w:bottom w:type="dxa" w:w="60"/>
              <w:right w:type="dxa" w:w="40"/>
            </w:tcMar>
          </w:tcPr>
          <w:p>
            <w:pPr>
              <w:jc w:val="center"/>
            </w:pPr>
            <w:r>
              <w:rPr>
                <w:rFonts w:ascii="Arial" w:cs="Arial" w:eastAsia="Arial" w:hAnsi="Arial"/>
                <w:color w:val="2E75B6"/>
                <w:sz w:val="28"/>
                <w:szCs w:val="28"/>
              </w:rPr>
              <w:t xml:space="preserve">▢</w:t>
            </w:r>
          </w:p>
        </w:tc>
        <w:tc>
          <w:tcPr>
            <w:tcW w:type="dxa" w:w="8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color w:val="333333"/>
                <w:sz w:val="21"/>
                <w:szCs w:val="21"/>
              </w:rPr>
              <w:t xml:space="preserve">Has every word been pressure-tested? Could anything be cut?</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none" w:color="FFFFFF" w:sz="0"/>
              <w:bottom w:val="none" w:color="FFFFFF" w:sz="0"/>
              <w:right w:val="none" w:color="FFFFFF" w:sz="0"/>
            </w:tcBorders>
            <w:shd w:fill="EAF1F8" w:val="clear"/>
            <w:tcMar>
              <w:top w:type="dxa" w:w="200"/>
              <w:left w:type="dxa" w:w="240"/>
              <w:bottom w:type="dxa" w:w="200"/>
              <w:right w:type="dxa" w:w="240"/>
            </w:tcMar>
          </w:tcPr>
          <w:p>
            <w:pPr>
              <w:jc w:val="center"/>
            </w:pPr>
            <w:r>
              <w:rPr>
                <w:rFonts w:ascii="Arial" w:cs="Arial" w:eastAsia="Arial" w:hAnsi="Arial"/>
                <w:b/>
                <w:bCs/>
                <w:color w:val="1B2A4A"/>
                <w:sz w:val="22"/>
                <w:szCs w:val="22"/>
              </w:rPr>
              <w:t xml:space="preserve">Remember: </w:t>
            </w:r>
            <w:r>
              <w:rPr>
                <w:rFonts w:ascii="Arial" w:cs="Arial" w:eastAsia="Arial" w:hAnsi="Arial"/>
                <w:i/>
                <w:iCs/>
                <w:color w:val="1B2A4A"/>
                <w:sz w:val="22"/>
                <w:szCs w:val="22"/>
              </w:rPr>
              <w:t xml:space="preserve">The teaser is not a summary of the company. It’s a sales document for the NDA. Build tension between what you reveal and what you withhold.</w:t>
            </w:r>
          </w:p>
        </w:tc>
      </w:tr>
    </w:tbl>
    <w:sectPr>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2026-03-27T08:09:46.641Z</dcterms:created>
  <dcterms:modified xsi:type="dcterms:W3CDTF">2026-03-27T08:09:46.642Z</dcterms:modified>
</cp:coreProperties>
</file>

<file path=docProps/custom.xml><?xml version="1.0" encoding="utf-8"?>
<Properties xmlns="http://schemas.openxmlformats.org/officeDocument/2006/custom-properties" xmlns:vt="http://schemas.openxmlformats.org/officeDocument/2006/docPropsVTypes"/>
</file>