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2F5597"/>
          <w:sz w:val="32"/>
        </w:rPr>
        <w:t>SIH26063</w:t>
      </w:r>
    </w:p>
    <w:p>
      <w:pPr>
        <w:jc w:val="center"/>
      </w:pPr>
      <w:r>
        <w:rPr>
          <w:b/>
          <w:color w:val="17365D"/>
          <w:sz w:val="58"/>
        </w:rPr>
        <w:t>NOVELTY &amp; DIFFERENTIATION DOCUMENT</w:t>
      </w:r>
    </w:p>
    <w:p>
      <w:pPr>
        <w:jc w:val="center"/>
      </w:pPr>
      <w:r>
        <w:rPr>
          <w:i/>
          <w:color w:val="2F5597"/>
          <w:sz w:val="30"/>
        </w:rPr>
        <w:t>Living Evidence Graph for Polar Science Outreach</w:t>
      </w:r>
    </w:p>
    <w:p>
      <w:pPr>
        <w:spacing w:before="560"/>
        <w:jc w:val="center"/>
      </w:pPr>
      <w:r>
        <w:rPr>
          <w:b/>
          <w:color w:val="666666"/>
          <w:sz w:val="22"/>
        </w:rPr>
        <w:t>Problem Statement</w:t>
      </w:r>
    </w:p>
    <w:p>
      <w:pPr>
        <w:jc w:val="center"/>
      </w:pPr>
      <w:r>
        <w:rPr>
          <w:b/>
          <w:sz w:val="26"/>
        </w:rPr>
        <w:t>Integrated Polar Science Outreach, Knowledge Repository and Media Dissemination Portal</w:t>
      </w:r>
    </w:p>
    <w:p>
      <w:pPr>
        <w:jc w:val="center"/>
      </w:pPr>
      <w:r>
        <w:rPr>
          <w:color w:val="666666"/>
          <w:sz w:val="20"/>
        </w:rPr>
        <w:t>Ministry of Earth Sciences (MoES) • National Centre for Polar and Ocean Research (NCPOR)</w:t>
      </w:r>
    </w:p>
    <w:p>
      <w:pPr>
        <w:spacing w:before="700"/>
      </w:pPr>
    </w:p>
    <w:tbl>
      <w:tblPr>
        <w:tblW w:type="auto" w:w="0"/>
        <w:jc w:val="center"/>
        <w:tblLayout w:type="fixed"/>
        <w:tblLook w:firstColumn="1" w:firstRow="1" w:lastColumn="0" w:lastRow="0" w:noHBand="0" w:noVBand="1" w:val="04A0"/>
      </w:tblPr>
      <w:tblGrid>
        <w:gridCol w:w="9360"/>
      </w:tblGrid>
      <w:tr>
        <w:tc>
          <w:tcPr>
            <w:tcW w:type="dxa" w:w="9994"/>
            <w:shd w:fill="EAF0F8"/>
            <w:tcMar>
              <w:top w:w="180" w:type="dxa"/>
              <w:start w:w="220" w:type="dxa"/>
              <w:bottom w:w="180" w:type="dxa"/>
              <w:end w:w="220" w:type="dxa"/>
            </w:tcMar>
          </w:tcPr>
          <w:p>
            <w:pPr>
              <w:jc w:val="center"/>
            </w:pPr>
            <w:r>
              <w:rPr>
                <w:b/>
                <w:color w:val="17365D"/>
                <w:sz w:val="24"/>
              </w:rPr>
              <w:t>Core thesis: the innovation is not “RAG with citations.” It is a living evidence lifecycle that can trace a public claim back to an exact source version and propagate source changes into targeted re-verification tasks.</w:t>
            </w:r>
          </w:p>
        </w:tc>
      </w:tr>
    </w:tbl>
    <w:p>
      <w:pPr>
        <w:spacing w:before="1000"/>
        <w:jc w:val="center"/>
      </w:pPr>
      <w:r>
        <w:rPr>
          <w:color w:val="666666"/>
          <w:sz w:val="18"/>
        </w:rPr>
        <w:t>Prepared for SIH idea submission • 29 September 2026</w:t>
      </w:r>
    </w:p>
    <w:p>
      <w:r>
        <w:br w:type="page"/>
      </w:r>
    </w:p>
    <w:p>
      <w:pPr>
        <w:pStyle w:val="Heading1"/>
      </w:pPr>
      <w:r>
        <w:t>1. Executive Summary</w:t>
      </w:r>
    </w:p>
    <w:p>
      <w:pPr>
        <w:pStyle w:val="Callout"/>
      </w:pPr>
      <w:r>
        <w:t xml:space="preserve">Official need: </w:t>
      </w:r>
      <w:r>
        <w:rPr>
          <w:b w:val="0"/>
        </w:rPr>
        <w:t>SIH26063 asks for an outreach portal that archives polar-science resources and generates content for websites and social media.</w:t>
      </w:r>
    </w:p>
    <w:p>
      <w:pPr>
        <w:pStyle w:val="Callout"/>
      </w:pPr>
      <w:r>
        <w:t xml:space="preserve">Current landscape: </w:t>
      </w:r>
      <w:r>
        <w:rPr>
          <w:b w:val="0"/>
        </w:rPr>
        <w:t>NCPOR already has substantial digital library resources. Therefore, a solution limited to storage, search, summarization, semantic retrieval or generic AI content generation would be useful but weak as a differentiator.</w:t>
      </w:r>
    </w:p>
    <w:p>
      <w:pPr>
        <w:pStyle w:val="Callout"/>
      </w:pPr>
      <w:r>
        <w:t xml:space="preserve">Proposed novelty: </w:t>
      </w:r>
      <w:r>
        <w:rPr>
          <w:b w:val="0"/>
        </w:rPr>
        <w:t>Model every public-facing factual claim as a first-class domain object connected to exact, versioned scientific evidence. When a source changes, the system computes which evidence changed, which claims depend on it, and which published artifacts require human re-verification.</w:t>
      </w:r>
    </w:p>
    <w:p>
      <w:pPr>
        <w:pStyle w:val="Callout"/>
      </w:pPr>
      <w:r>
        <w:t xml:space="preserve">Value: </w:t>
      </w:r>
      <w:r>
        <w:rPr>
          <w:b w:val="0"/>
        </w:rPr>
        <w:t>The platform becomes a maintainable scientific communication system rather than a one-time content generator: Archive → Discover → Evidence → Generate → Verify → Publish → Detect Evidence Drift → Trace Impact → Re-verify.</w:t>
      </w:r>
    </w:p>
    <w:tbl>
      <w:tblPr>
        <w:tblW w:type="auto" w:w="0"/>
        <w:tblLayout w:type="fixed"/>
        <w:tblLook w:firstColumn="1" w:firstRow="1" w:lastColumn="0" w:lastRow="0" w:noHBand="0" w:noVBand="1" w:val="04A0"/>
      </w:tblPr>
      <w:tblGrid>
        <w:gridCol w:w="9360"/>
      </w:tblGrid>
      <w:tr>
        <w:tc>
          <w:tcPr>
            <w:tcW w:type="dxa" w:w="9994"/>
            <w:shd w:fill="E2F0D9"/>
            <w:tcMar>
              <w:top w:w="180" w:type="dxa"/>
              <w:start w:w="220" w:type="dxa"/>
              <w:bottom w:w="180" w:type="dxa"/>
              <w:end w:w="220" w:type="dxa"/>
            </w:tcMar>
          </w:tcPr>
          <w:p>
            <w:r>
              <w:rPr>
                <w:b/>
                <w:color w:val="17365D"/>
              </w:rPr>
              <w:t>One-line novelty statement</w:t>
            </w:r>
          </w:p>
          <w:p>
            <w:pPr>
              <w:spacing w:after="0"/>
            </w:pPr>
            <w:r>
              <w:t>A version-aware evidence graph for polar-science outreach that links each published claim to exact source evidence and automatically creates targeted re-verification tasks when that evidence changes.</w:t>
            </w:r>
          </w:p>
        </w:tc>
      </w:tr>
    </w:tbl>
    <w:p>
      <w:pPr>
        <w:pStyle w:val="Heading1"/>
      </w:pPr>
      <w:r>
        <w:t>2. What We Should NOT Claim as Novel</w:t>
      </w:r>
    </w:p>
    <w:p>
      <w:pPr>
        <w:pStyle w:val="ListBullet"/>
      </w:pPr>
      <w:r>
        <w:t>RAG or semantic search by itself.</w:t>
      </w:r>
    </w:p>
    <w:p>
      <w:pPr>
        <w:pStyle w:val="ListBullet"/>
      </w:pPr>
      <w:r>
        <w:t>Generating summaries or social-media posts using an LLM.</w:t>
      </w:r>
    </w:p>
    <w:p>
      <w:pPr>
        <w:pStyle w:val="ListBullet"/>
      </w:pPr>
      <w:r>
        <w:t>Displaying citations or page numbers with an answer.</w:t>
      </w:r>
    </w:p>
    <w:p>
      <w:pPr>
        <w:pStyle w:val="ListBullet"/>
      </w:pPr>
      <w:r>
        <w:t>Using embeddings, vector databases, OCR or document parsing.</w:t>
      </w:r>
    </w:p>
    <w:p>
      <w:pPr>
        <w:pStyle w:val="ListBullet"/>
      </w:pPr>
      <w:r>
        <w:t>Basic document versioning, hashing or provenance metadata.</w:t>
      </w:r>
    </w:p>
    <w:p>
      <w:pPr>
        <w:pStyle w:val="ListBullet"/>
      </w:pPr>
      <w:r>
        <w:t>A generic chatbot over NCPOR PDFs.</w:t>
      </w:r>
    </w:p>
    <w:p>
      <w:r>
        <w:rPr>
          <w:b/>
        </w:rPr>
        <w:t xml:space="preserve">Why: </w:t>
      </w:r>
      <w:r>
        <w:t>Current RAG/security literature already treats provenance, source attribution, hashes and claim-to-evidence grounding as established reliability practices. Our differentiation must therefore come from how these pieces are composed for the scientific outreach lifecycle, especially change-impact propagation and re-verification.</w:t>
      </w:r>
    </w:p>
    <w:p>
      <w:pPr>
        <w:pStyle w:val="Heading1"/>
      </w:pPr>
      <w:r>
        <w:t>3. Core Differentiator: Living Evidence Graph</w:t>
      </w:r>
    </w:p>
    <w:p>
      <w:r>
        <w:t>The domain model moves the centre of the system away from “documents” and toward “scientific claims and their evidence lifecycle.”</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c>
          <w:tcPr>
            <w:tcW w:type="dxa" w:w="1428"/>
            <w:shd w:fill="EAF0F8"/>
            <w:vAlign w:val="center"/>
            <w:tcMar>
              <w:top w:w="100" w:type="dxa"/>
              <w:start w:w="70" w:type="dxa"/>
              <w:bottom w:w="100" w:type="dxa"/>
              <w:end w:w="70" w:type="dxa"/>
            </w:tcMar>
          </w:tcPr>
          <w:p>
            <w:pPr>
              <w:jc w:val="center"/>
            </w:pPr>
            <w:r>
              <w:rPr>
                <w:b/>
                <w:color w:val="17365D"/>
                <w:sz w:val="17"/>
              </w:rPr>
              <w:t>Asset</w:t>
            </w:r>
          </w:p>
        </w:tc>
        <w:tc>
          <w:tcPr>
            <w:tcW w:type="dxa" w:w="1428"/>
            <w:shd w:fill="D9E2F3"/>
            <w:vAlign w:val="center"/>
            <w:tcMar>
              <w:top w:w="100" w:type="dxa"/>
              <w:start w:w="70" w:type="dxa"/>
              <w:bottom w:w="100" w:type="dxa"/>
              <w:end w:w="70" w:type="dxa"/>
            </w:tcMar>
          </w:tcPr>
          <w:p>
            <w:pPr>
              <w:jc w:val="center"/>
            </w:pPr>
            <w:r>
              <w:rPr>
                <w:b/>
                <w:color w:val="17365D"/>
                <w:sz w:val="17"/>
              </w:rPr>
              <w:t>Asset Version</w:t>
            </w:r>
          </w:p>
        </w:tc>
        <w:tc>
          <w:tcPr>
            <w:tcW w:type="dxa" w:w="1428"/>
            <w:shd w:fill="EAF0F8"/>
            <w:vAlign w:val="center"/>
            <w:tcMar>
              <w:top w:w="100" w:type="dxa"/>
              <w:start w:w="70" w:type="dxa"/>
              <w:bottom w:w="100" w:type="dxa"/>
              <w:end w:w="70" w:type="dxa"/>
            </w:tcMar>
          </w:tcPr>
          <w:p>
            <w:pPr>
              <w:jc w:val="center"/>
            </w:pPr>
            <w:r>
              <w:rPr>
                <w:b/>
                <w:color w:val="17365D"/>
                <w:sz w:val="17"/>
              </w:rPr>
              <w:t>Evidence Unit</w:t>
            </w:r>
          </w:p>
        </w:tc>
        <w:tc>
          <w:tcPr>
            <w:tcW w:type="dxa" w:w="1428"/>
            <w:shd w:fill="D9E2F3"/>
            <w:vAlign w:val="center"/>
            <w:tcMar>
              <w:top w:w="100" w:type="dxa"/>
              <w:start w:w="70" w:type="dxa"/>
              <w:bottom w:w="100" w:type="dxa"/>
              <w:end w:w="70" w:type="dxa"/>
            </w:tcMar>
          </w:tcPr>
          <w:p>
            <w:pPr>
              <w:jc w:val="center"/>
            </w:pPr>
            <w:r>
              <w:rPr>
                <w:b/>
                <w:color w:val="17365D"/>
                <w:sz w:val="17"/>
              </w:rPr>
              <w:t>Scientific Claim</w:t>
            </w:r>
          </w:p>
        </w:tc>
        <w:tc>
          <w:tcPr>
            <w:tcW w:type="dxa" w:w="1428"/>
            <w:shd w:fill="EAF0F8"/>
            <w:vAlign w:val="center"/>
            <w:tcMar>
              <w:top w:w="100" w:type="dxa"/>
              <w:start w:w="70" w:type="dxa"/>
              <w:bottom w:w="100" w:type="dxa"/>
              <w:end w:w="70" w:type="dxa"/>
            </w:tcMar>
          </w:tcPr>
          <w:p>
            <w:pPr>
              <w:jc w:val="center"/>
            </w:pPr>
            <w:r>
              <w:rPr>
                <w:b/>
                <w:color w:val="17365D"/>
                <w:sz w:val="17"/>
              </w:rPr>
              <w:t>Draft Revision</w:t>
            </w:r>
          </w:p>
        </w:tc>
        <w:tc>
          <w:tcPr>
            <w:tcW w:type="dxa" w:w="1428"/>
            <w:shd w:fill="D9E2F3"/>
            <w:vAlign w:val="center"/>
            <w:tcMar>
              <w:top w:w="100" w:type="dxa"/>
              <w:start w:w="70" w:type="dxa"/>
              <w:bottom w:w="100" w:type="dxa"/>
              <w:end w:w="70" w:type="dxa"/>
            </w:tcMar>
          </w:tcPr>
          <w:p>
            <w:pPr>
              <w:jc w:val="center"/>
            </w:pPr>
            <w:r>
              <w:rPr>
                <w:b/>
                <w:color w:val="17365D"/>
                <w:sz w:val="17"/>
              </w:rPr>
              <w:t>Review</w:t>
            </w:r>
          </w:p>
        </w:tc>
        <w:tc>
          <w:tcPr>
            <w:tcW w:type="dxa" w:w="1428"/>
            <w:shd w:fill="EAF0F8"/>
            <w:vAlign w:val="center"/>
            <w:tcMar>
              <w:top w:w="100" w:type="dxa"/>
              <w:start w:w="70" w:type="dxa"/>
              <w:bottom w:w="100" w:type="dxa"/>
              <w:end w:w="70" w:type="dxa"/>
            </w:tcMar>
          </w:tcPr>
          <w:p>
            <w:pPr>
              <w:jc w:val="center"/>
            </w:pPr>
            <w:r>
              <w:rPr>
                <w:b/>
                <w:color w:val="17365D"/>
                <w:sz w:val="17"/>
              </w:rPr>
              <w:t>Publication</w:t>
            </w:r>
          </w:p>
        </w:tc>
      </w:tr>
    </w:tbl>
    <w:p>
      <w:pPr>
        <w:jc w:val="center"/>
      </w:pPr>
      <w:r>
        <w:rPr>
          <w:b/>
          <w:color w:val="2F5597"/>
          <w:sz w:val="22"/>
        </w:rPr>
        <w:t>Source update  →  EvidenceDelta  →  Impact Analysis  →  Re-verification Task</w:t>
      </w:r>
    </w:p>
    <w:p>
      <w:r>
        <w:t>This structure lets the system answer a question conventional content portals usually cannot answer efficiently:</w:t>
      </w:r>
    </w:p>
    <w:p>
      <w:pPr>
        <w:jc w:val="center"/>
      </w:pPr>
      <w:r>
        <w:rPr>
          <w:b/>
          <w:i/>
          <w:color w:val="17365D"/>
          <w:sz w:val="24"/>
        </w:rPr>
        <w:t>“If this scientific source changed today, exactly which previously published public claims should a human review?”</w:t>
      </w:r>
    </w:p>
    <w:p>
      <w:pPr>
        <w:pStyle w:val="Heading1"/>
      </w:pPr>
      <w:r>
        <w:t>4. Novelty Components</w:t>
      </w:r>
    </w:p>
    <w:p>
      <w:pPr>
        <w:pStyle w:val="Heading2"/>
      </w:pPr>
      <w:r>
        <w:t>4.1 Claim-Level Evidence Graph</w:t>
      </w:r>
    </w:p>
    <w:p>
      <w:r>
        <w:t>Every factual statement generated for outreach is stored as a ScientificClaim and connected through EvidenceLink objects to one or more EvidenceUnits. EvidenceUnits belong to immutable AssetVersions. This gives claim-level traceability instead of only document-level citations.</w:t>
      </w:r>
    </w:p>
    <w:tbl>
      <w:tblPr>
        <w:tblW w:type="auto" w:w="0"/>
        <w:tblLayout w:type="fixed"/>
        <w:tblLook w:firstColumn="1" w:firstRow="1" w:lastColumn="0" w:lastRow="0" w:noHBand="0" w:noVBand="1" w:val="04A0"/>
      </w:tblPr>
      <w:tblGrid>
        <w:gridCol w:w="9216"/>
      </w:tblGrid>
      <w:tr>
        <w:tc>
          <w:tcPr>
            <w:tcW w:type="dxa" w:w="9994"/>
            <w:shd w:fill="F5F7FA"/>
            <w:tcMar>
              <w:top w:w="110" w:type="dxa"/>
              <w:start w:w="150" w:type="dxa"/>
              <w:bottom w:w="110" w:type="dxa"/>
              <w:end w:w="150" w:type="dxa"/>
            </w:tcMar>
          </w:tcPr>
          <w:p>
            <w:r>
              <w:rPr>
                <w:i/>
                <w:sz w:val="19"/>
              </w:rPr>
              <w:t>Judge-visible demo: click any sentence in an article → show the exact report version, page/passage or video timestamp supporting it.</w:t>
            </w:r>
          </w:p>
        </w:tc>
      </w:tr>
    </w:tbl>
    <w:p>
      <w:pPr>
        <w:pStyle w:val="Heading2"/>
      </w:pPr>
      <w:r>
        <w:t>4.2 Scientific Evidence Drift Detection</w:t>
      </w:r>
    </w:p>
    <w:p>
      <w:r>
        <w:t>When a revised source is uploaded, the system aligns old and new evidence and creates an EvidenceDelta instead of treating the whole document as simply “new.” The delta captures what changed and how material that change may be.</w:t>
      </w:r>
    </w:p>
    <w:tbl>
      <w:tblPr>
        <w:tblW w:type="auto" w:w="0"/>
        <w:tblLayout w:type="fixed"/>
        <w:tblLook w:firstColumn="1" w:firstRow="1" w:lastColumn="0" w:lastRow="0" w:noHBand="0" w:noVBand="1" w:val="04A0"/>
      </w:tblPr>
      <w:tblGrid>
        <w:gridCol w:w="9216"/>
      </w:tblGrid>
      <w:tr>
        <w:tc>
          <w:tcPr>
            <w:tcW w:type="dxa" w:w="9994"/>
            <w:shd w:fill="F5F7FA"/>
            <w:tcMar>
              <w:top w:w="110" w:type="dxa"/>
              <w:start w:w="150" w:type="dxa"/>
              <w:bottom w:w="110" w:type="dxa"/>
              <w:end w:w="150" w:type="dxa"/>
            </w:tcMar>
          </w:tcPr>
          <w:p>
            <w:r>
              <w:rPr>
                <w:i/>
                <w:sz w:val="19"/>
              </w:rPr>
              <w:t>Judge-visible demo: revise a test report from 4.7 to 4.3 million km² → system highlights the numeric change and marks linked claims for review.</w:t>
            </w:r>
          </w:p>
        </w:tc>
      </w:tr>
    </w:tbl>
    <w:p>
      <w:pPr>
        <w:pStyle w:val="Heading2"/>
      </w:pPr>
      <w:r>
        <w:t>4.3 Impact Propagation</w:t>
      </w:r>
    </w:p>
    <w:p>
      <w:r>
        <w:t>The system traverses Evidence → Claim → ContentRevision → Publication relationships to calculate the blast radius of a source update. This avoids manually re-reading every publication and avoids flagging unrelated content when fine-grained matching is available.</w:t>
      </w:r>
    </w:p>
    <w:tbl>
      <w:tblPr>
        <w:tblW w:type="auto" w:w="0"/>
        <w:tblLayout w:type="fixed"/>
        <w:tblLook w:firstColumn="1" w:firstRow="1" w:lastColumn="0" w:lastRow="0" w:noHBand="0" w:noVBand="1" w:val="04A0"/>
      </w:tblPr>
      <w:tblGrid>
        <w:gridCol w:w="9216"/>
      </w:tblGrid>
      <w:tr>
        <w:tc>
          <w:tcPr>
            <w:tcW w:type="dxa" w:w="9994"/>
            <w:shd w:fill="F5F7FA"/>
            <w:tcMar>
              <w:top w:w="110" w:type="dxa"/>
              <w:start w:w="150" w:type="dxa"/>
              <w:bottom w:w="110" w:type="dxa"/>
              <w:end w:w="150" w:type="dxa"/>
            </w:tcMar>
          </w:tcPr>
          <w:p>
            <w:r>
              <w:rPr>
                <w:i/>
                <w:sz w:val="19"/>
              </w:rPr>
              <w:t>Judge-visible demo: one changed evidence unit automatically identifies all affected website/social outputs.</w:t>
            </w:r>
          </w:p>
        </w:tc>
      </w:tr>
    </w:tbl>
    <w:p>
      <w:pPr>
        <w:pStyle w:val="Heading2"/>
      </w:pPr>
      <w:r>
        <w:t>4.4 Claim State Machine</w:t>
      </w:r>
    </w:p>
    <w:p>
      <w:r>
        <w:t>A claim can have explicit verification states such as SUPPORTED, RECHECK_REQUIRED, NEEDS_REVISION, UNSUPPORTED or CONFLICT. Source updates change the state of dependent claims; they do not automatically rewrite or delete public content.</w:t>
      </w:r>
    </w:p>
    <w:tbl>
      <w:tblPr>
        <w:tblW w:type="auto" w:w="0"/>
        <w:tblLayout w:type="fixed"/>
        <w:tblLook w:firstColumn="1" w:firstRow="1" w:lastColumn="0" w:lastRow="0" w:noHBand="0" w:noVBand="1" w:val="04A0"/>
      </w:tblPr>
      <w:tblGrid>
        <w:gridCol w:w="9216"/>
      </w:tblGrid>
      <w:tr>
        <w:tc>
          <w:tcPr>
            <w:tcW w:type="dxa" w:w="9994"/>
            <w:shd w:fill="F5F7FA"/>
            <w:tcMar>
              <w:top w:w="110" w:type="dxa"/>
              <w:start w:w="150" w:type="dxa"/>
              <w:bottom w:w="110" w:type="dxa"/>
              <w:end w:w="150" w:type="dxa"/>
            </w:tcMar>
          </w:tcPr>
          <w:p>
            <w:r>
              <w:rPr>
                <w:i/>
                <w:sz w:val="19"/>
              </w:rPr>
              <w:t>Judge-visible demo: show a published claim move from SUPPORTED → RECHECK_REQUIRED after source change, then return to SUPPORTED after human verification.</w:t>
            </w:r>
          </w:p>
        </w:tc>
      </w:tr>
    </w:tbl>
    <w:p>
      <w:pPr>
        <w:pStyle w:val="Heading2"/>
      </w:pPr>
      <w:r>
        <w:t>4.5 Conflict &amp; Insufficient-Evidence Handling</w:t>
      </w:r>
    </w:p>
    <w:p>
      <w:r>
        <w:t>The system is designed to abstain when evidence is missing and to surface materially conflicting evidence instead of silently choosing the most semantically similar passage. This turns uncertainty into an explicit workflow object.</w:t>
      </w:r>
    </w:p>
    <w:tbl>
      <w:tblPr>
        <w:tblW w:type="auto" w:w="0"/>
        <w:tblLayout w:type="fixed"/>
        <w:tblLook w:firstColumn="1" w:firstRow="1" w:lastColumn="0" w:lastRow="0" w:noHBand="0" w:noVBand="1" w:val="04A0"/>
      </w:tblPr>
      <w:tblGrid>
        <w:gridCol w:w="9216"/>
      </w:tblGrid>
      <w:tr>
        <w:tc>
          <w:tcPr>
            <w:tcW w:type="dxa" w:w="9994"/>
            <w:shd w:fill="F5F7FA"/>
            <w:tcMar>
              <w:top w:w="110" w:type="dxa"/>
              <w:start w:w="150" w:type="dxa"/>
              <w:bottom w:w="110" w:type="dxa"/>
              <w:end w:w="150" w:type="dxa"/>
            </w:tcMar>
          </w:tcPr>
          <w:p>
            <w:r>
              <w:rPr>
                <w:i/>
                <w:sz w:val="19"/>
              </w:rPr>
              <w:t>Judge-visible demo: ask a question absent from the repository → return INSUFFICIENT_EVIDENCE with no fabricated citation.</w:t>
            </w:r>
          </w:p>
        </w:tc>
      </w:tr>
    </w:tbl>
    <w:p>
      <w:pPr>
        <w:pStyle w:val="Heading1"/>
      </w:pPr>
      <w:r>
        <w:t>5. Domain-Aware Evidence Change Taxonomy</w:t>
      </w:r>
    </w:p>
    <w:p>
      <w:r>
        <w:t>A key implementation detail is to classify evidence changes rather than treating every file replacement identically.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Mar>
              <w:top w:w="100" w:type="dxa"/>
              <w:start w:w="120" w:type="dxa"/>
              <w:bottom w:w="100" w:type="dxa"/>
              <w:end w:w="120" w:type="dxa"/>
            </w:tcMar>
          </w:tcPr>
          <w:p>
            <w:r>
              <w:rPr>
                <w:b/>
                <w:color w:val="FFFFFF"/>
              </w:rPr>
              <w:t>Change class</w:t>
            </w:r>
          </w:p>
        </w:tc>
        <w:tc>
          <w:tcPr>
            <w:tcW w:type="dxa" w:w="3331"/>
            <w:shd w:fill="17365D"/>
            <w:tcMar>
              <w:top w:w="100" w:type="dxa"/>
              <w:start w:w="120" w:type="dxa"/>
              <w:bottom w:w="100" w:type="dxa"/>
              <w:end w:w="120" w:type="dxa"/>
            </w:tcMar>
          </w:tcPr>
          <w:p>
            <w:r>
              <w:rPr>
                <w:b/>
                <w:color w:val="FFFFFF"/>
              </w:rPr>
              <w:t>Example</w:t>
            </w:r>
          </w:p>
        </w:tc>
        <w:tc>
          <w:tcPr>
            <w:tcW w:type="dxa" w:w="3331"/>
            <w:shd w:fill="17365D"/>
            <w:tcMar>
              <w:top w:w="100" w:type="dxa"/>
              <w:start w:w="120" w:type="dxa"/>
              <w:bottom w:w="100" w:type="dxa"/>
              <w:end w:w="120" w:type="dxa"/>
            </w:tcMar>
          </w:tcPr>
          <w:p>
            <w:r>
              <w:rPr>
                <w:b/>
                <w:color w:val="FFFFFF"/>
              </w:rPr>
              <w:t>System response</w:t>
            </w:r>
          </w:p>
        </w:tc>
      </w:tr>
      <w:tr>
        <w:tc>
          <w:tcPr>
            <w:tcW w:type="dxa" w:w="3331"/>
            <w:tcMar>
              <w:top w:w="100" w:type="dxa"/>
              <w:start w:w="120" w:type="dxa"/>
              <w:bottom w:w="100" w:type="dxa"/>
              <w:end w:w="120" w:type="dxa"/>
            </w:tcMar>
            <w:vAlign w:val="center"/>
            <w:shd w:fill="E2F0D9"/>
          </w:tcPr>
          <w:p>
            <w:r>
              <w:t>UNCHANGED</w:t>
            </w:r>
          </w:p>
        </w:tc>
        <w:tc>
          <w:tcPr>
            <w:tcW w:type="dxa" w:w="3331"/>
            <w:tcMar>
              <w:top w:w="100" w:type="dxa"/>
              <w:start w:w="120" w:type="dxa"/>
              <w:bottom w:w="100" w:type="dxa"/>
              <w:end w:w="120" w:type="dxa"/>
            </w:tcMar>
            <w:vAlign w:val="center"/>
            <w:shd w:fill="E2F0D9"/>
          </w:tcPr>
          <w:p>
            <w:r>
              <w:t>Paragraph moved; meaning same</w:t>
            </w:r>
          </w:p>
        </w:tc>
        <w:tc>
          <w:tcPr>
            <w:tcW w:type="dxa" w:w="3331"/>
            <w:tcMar>
              <w:top w:w="100" w:type="dxa"/>
              <w:start w:w="120" w:type="dxa"/>
              <w:bottom w:w="100" w:type="dxa"/>
              <w:end w:w="120" w:type="dxa"/>
            </w:tcMar>
            <w:vAlign w:val="center"/>
            <w:shd w:fill="E2F0D9"/>
          </w:tcPr>
          <w:p>
            <w:r>
              <w:t>No action</w:t>
            </w:r>
          </w:p>
        </w:tc>
      </w:tr>
      <w:tr>
        <w:tc>
          <w:tcPr>
            <w:tcW w:type="dxa" w:w="3331"/>
            <w:tcMar>
              <w:top w:w="100" w:type="dxa"/>
              <w:start w:w="120" w:type="dxa"/>
              <w:bottom w:w="100" w:type="dxa"/>
              <w:end w:w="120" w:type="dxa"/>
            </w:tcMar>
            <w:vAlign w:val="center"/>
          </w:tcPr>
          <w:p>
            <w:r>
              <w:t>TEXT_REPHRASED</w:t>
            </w:r>
          </w:p>
        </w:tc>
        <w:tc>
          <w:tcPr>
            <w:tcW w:type="dxa" w:w="3331"/>
            <w:tcMar>
              <w:top w:w="100" w:type="dxa"/>
              <w:start w:w="120" w:type="dxa"/>
              <w:bottom w:w="100" w:type="dxa"/>
              <w:end w:w="120" w:type="dxa"/>
            </w:tcMar>
            <w:vAlign w:val="center"/>
          </w:tcPr>
          <w:p>
            <w:r>
              <w:t>Wording changed; meaning likely preserved</w:t>
            </w:r>
          </w:p>
        </w:tc>
        <w:tc>
          <w:tcPr>
            <w:tcW w:type="dxa" w:w="3331"/>
            <w:tcMar>
              <w:top w:w="100" w:type="dxa"/>
              <w:start w:w="120" w:type="dxa"/>
              <w:bottom w:w="100" w:type="dxa"/>
              <w:end w:w="120" w:type="dxa"/>
            </w:tcMar>
            <w:vAlign w:val="center"/>
          </w:tcPr>
          <w:p>
            <w:r>
              <w:t>Low-priority verification</w:t>
            </w:r>
          </w:p>
        </w:tc>
      </w:tr>
      <w:tr>
        <w:tc>
          <w:tcPr>
            <w:tcW w:type="dxa" w:w="3331"/>
            <w:tcMar>
              <w:top w:w="100" w:type="dxa"/>
              <w:start w:w="120" w:type="dxa"/>
              <w:bottom w:w="100" w:type="dxa"/>
              <w:end w:w="120" w:type="dxa"/>
            </w:tcMar>
            <w:vAlign w:val="center"/>
            <w:shd w:fill="FFF2CC"/>
          </w:tcPr>
          <w:p>
            <w:r>
              <w:t>NUMERIC_CHANGED</w:t>
            </w:r>
          </w:p>
        </w:tc>
        <w:tc>
          <w:tcPr>
            <w:tcW w:type="dxa" w:w="3331"/>
            <w:tcMar>
              <w:top w:w="100" w:type="dxa"/>
              <w:start w:w="120" w:type="dxa"/>
              <w:bottom w:w="100" w:type="dxa"/>
              <w:end w:w="120" w:type="dxa"/>
            </w:tcMar>
            <w:vAlign w:val="center"/>
            <w:shd w:fill="FFF2CC"/>
          </w:tcPr>
          <w:p>
            <w:r>
              <w:t>4.7 → 4.3</w:t>
            </w:r>
          </w:p>
        </w:tc>
        <w:tc>
          <w:tcPr>
            <w:tcW w:type="dxa" w:w="3331"/>
            <w:tcMar>
              <w:top w:w="100" w:type="dxa"/>
              <w:start w:w="120" w:type="dxa"/>
              <w:bottom w:w="100" w:type="dxa"/>
              <w:end w:w="120" w:type="dxa"/>
            </w:tcMar>
            <w:vAlign w:val="center"/>
            <w:shd w:fill="FFF2CC"/>
          </w:tcPr>
          <w:p>
            <w:r>
              <w:t>Review dependent claims</w:t>
            </w:r>
          </w:p>
        </w:tc>
      </w:tr>
      <w:tr>
        <w:tc>
          <w:tcPr>
            <w:tcW w:type="dxa" w:w="3331"/>
            <w:tcMar>
              <w:top w:w="100" w:type="dxa"/>
              <w:start w:w="120" w:type="dxa"/>
              <w:bottom w:w="100" w:type="dxa"/>
              <w:end w:w="120" w:type="dxa"/>
            </w:tcMar>
            <w:vAlign w:val="center"/>
            <w:shd w:fill="FFF2CC"/>
          </w:tcPr>
          <w:p>
            <w:r>
              <w:t>DATE_CHANGED</w:t>
            </w:r>
          </w:p>
        </w:tc>
        <w:tc>
          <w:tcPr>
            <w:tcW w:type="dxa" w:w="3331"/>
            <w:tcMar>
              <w:top w:w="100" w:type="dxa"/>
              <w:start w:w="120" w:type="dxa"/>
              <w:bottom w:w="100" w:type="dxa"/>
              <w:end w:w="120" w:type="dxa"/>
            </w:tcMar>
            <w:vAlign w:val="center"/>
            <w:shd w:fill="FFF2CC"/>
          </w:tcPr>
          <w:p>
            <w:r>
              <w:t>2024 → 2025</w:t>
            </w:r>
          </w:p>
        </w:tc>
        <w:tc>
          <w:tcPr>
            <w:tcW w:type="dxa" w:w="3331"/>
            <w:tcMar>
              <w:top w:w="100" w:type="dxa"/>
              <w:start w:w="120" w:type="dxa"/>
              <w:bottom w:w="100" w:type="dxa"/>
              <w:end w:w="120" w:type="dxa"/>
            </w:tcMar>
            <w:vAlign w:val="center"/>
            <w:shd w:fill="FFF2CC"/>
          </w:tcPr>
          <w:p>
            <w:r>
              <w:t>Review dependent claims</w:t>
            </w:r>
          </w:p>
        </w:tc>
      </w:tr>
      <w:tr>
        <w:tc>
          <w:tcPr>
            <w:tcW w:type="dxa" w:w="3331"/>
            <w:tcMar>
              <w:top w:w="100" w:type="dxa"/>
              <w:start w:w="120" w:type="dxa"/>
              <w:bottom w:w="100" w:type="dxa"/>
              <w:end w:w="120" w:type="dxa"/>
            </w:tcMar>
            <w:vAlign w:val="center"/>
            <w:shd w:fill="FFF2CC"/>
          </w:tcPr>
          <w:p>
            <w:r>
              <w:t>LOCATION_CHANGED</w:t>
            </w:r>
          </w:p>
        </w:tc>
        <w:tc>
          <w:tcPr>
            <w:tcW w:type="dxa" w:w="3331"/>
            <w:tcMar>
              <w:top w:w="100" w:type="dxa"/>
              <w:start w:w="120" w:type="dxa"/>
              <w:bottom w:w="100" w:type="dxa"/>
              <w:end w:w="120" w:type="dxa"/>
            </w:tcMar>
            <w:vAlign w:val="center"/>
            <w:shd w:fill="FFF2CC"/>
          </w:tcPr>
          <w:p>
            <w:r>
              <w:t>Station/location altered</w:t>
            </w:r>
          </w:p>
        </w:tc>
        <w:tc>
          <w:tcPr>
            <w:tcW w:type="dxa" w:w="3331"/>
            <w:tcMar>
              <w:top w:w="100" w:type="dxa"/>
              <w:start w:w="120" w:type="dxa"/>
              <w:bottom w:w="100" w:type="dxa"/>
              <w:end w:w="120" w:type="dxa"/>
            </w:tcMar>
            <w:vAlign w:val="center"/>
            <w:shd w:fill="FFF2CC"/>
          </w:tcPr>
          <w:p>
            <w:r>
              <w:t>Review dependent claims</w:t>
            </w:r>
          </w:p>
        </w:tc>
      </w:tr>
      <w:tr>
        <w:tc>
          <w:tcPr>
            <w:tcW w:type="dxa" w:w="3331"/>
            <w:tcMar>
              <w:top w:w="100" w:type="dxa"/>
              <w:start w:w="120" w:type="dxa"/>
              <w:bottom w:w="100" w:type="dxa"/>
              <w:end w:w="120" w:type="dxa"/>
            </w:tcMar>
            <w:vAlign w:val="center"/>
            <w:shd w:fill="FFF2CC"/>
          </w:tcPr>
          <w:p>
            <w:r>
              <w:t>QUALIFIER_CHANGED</w:t>
            </w:r>
          </w:p>
        </w:tc>
        <w:tc>
          <w:tcPr>
            <w:tcW w:type="dxa" w:w="3331"/>
            <w:tcMar>
              <w:top w:w="100" w:type="dxa"/>
              <w:start w:w="120" w:type="dxa"/>
              <w:bottom w:w="100" w:type="dxa"/>
              <w:end w:w="120" w:type="dxa"/>
            </w:tcMar>
            <w:vAlign w:val="center"/>
            <w:shd w:fill="FFF2CC"/>
          </w:tcPr>
          <w:p>
            <w:r>
              <w:t>“may” → “will”</w:t>
            </w:r>
          </w:p>
        </w:tc>
        <w:tc>
          <w:tcPr>
            <w:tcW w:type="dxa" w:w="3331"/>
            <w:tcMar>
              <w:top w:w="100" w:type="dxa"/>
              <w:start w:w="120" w:type="dxa"/>
              <w:bottom w:w="100" w:type="dxa"/>
              <w:end w:w="120" w:type="dxa"/>
            </w:tcMar>
            <w:vAlign w:val="center"/>
            <w:shd w:fill="FFF2CC"/>
          </w:tcPr>
          <w:p>
            <w:r>
              <w:t>Review semantic strength</w:t>
            </w:r>
          </w:p>
        </w:tc>
      </w:tr>
      <w:tr>
        <w:tc>
          <w:tcPr>
            <w:tcW w:type="dxa" w:w="3331"/>
            <w:tcMar>
              <w:top w:w="100" w:type="dxa"/>
              <w:start w:w="120" w:type="dxa"/>
              <w:bottom w:w="100" w:type="dxa"/>
              <w:end w:w="120" w:type="dxa"/>
            </w:tcMar>
            <w:vAlign w:val="center"/>
            <w:shd w:fill="FCE4D6"/>
          </w:tcPr>
          <w:p>
            <w:r>
              <w:t>EVIDENCE_REMOVED</w:t>
            </w:r>
          </w:p>
        </w:tc>
        <w:tc>
          <w:tcPr>
            <w:tcW w:type="dxa" w:w="3331"/>
            <w:tcMar>
              <w:top w:w="100" w:type="dxa"/>
              <w:start w:w="120" w:type="dxa"/>
              <w:bottom w:w="100" w:type="dxa"/>
              <w:end w:w="120" w:type="dxa"/>
            </w:tcMar>
            <w:vAlign w:val="center"/>
            <w:shd w:fill="FCE4D6"/>
          </w:tcPr>
          <w:p>
            <w:r>
              <w:t>Supporting passage deleted</w:t>
            </w:r>
          </w:p>
        </w:tc>
        <w:tc>
          <w:tcPr>
            <w:tcW w:type="dxa" w:w="3331"/>
            <w:tcMar>
              <w:top w:w="100" w:type="dxa"/>
              <w:start w:w="120" w:type="dxa"/>
              <w:bottom w:w="100" w:type="dxa"/>
              <w:end w:w="120" w:type="dxa"/>
            </w:tcMar>
            <w:vAlign w:val="center"/>
            <w:shd w:fill="FCE4D6"/>
          </w:tcPr>
          <w:p>
            <w:r>
              <w:t>High-priority review</w:t>
            </w:r>
          </w:p>
        </w:tc>
      </w:tr>
      <w:tr>
        <w:tc>
          <w:tcPr>
            <w:tcW w:type="dxa" w:w="3331"/>
            <w:tcMar>
              <w:top w:w="100" w:type="dxa"/>
              <w:start w:w="120" w:type="dxa"/>
              <w:bottom w:w="100" w:type="dxa"/>
              <w:end w:w="120" w:type="dxa"/>
            </w:tcMar>
            <w:vAlign w:val="center"/>
            <w:shd w:fill="FCE4D6"/>
          </w:tcPr>
          <w:p>
            <w:r>
              <w:t>CONTRADICTION</w:t>
            </w:r>
          </w:p>
        </w:tc>
        <w:tc>
          <w:tcPr>
            <w:tcW w:type="dxa" w:w="3331"/>
            <w:tcMar>
              <w:top w:w="100" w:type="dxa"/>
              <w:start w:w="120" w:type="dxa"/>
              <w:bottom w:w="100" w:type="dxa"/>
              <w:end w:w="120" w:type="dxa"/>
            </w:tcMar>
            <w:vAlign w:val="center"/>
            <w:shd w:fill="FCE4D6"/>
          </w:tcPr>
          <w:p>
            <w:r>
              <w:t>New evidence conflicts with existing support</w:t>
            </w:r>
          </w:p>
        </w:tc>
        <w:tc>
          <w:tcPr>
            <w:tcW w:type="dxa" w:w="3331"/>
            <w:tcMar>
              <w:top w:w="100" w:type="dxa"/>
              <w:start w:w="120" w:type="dxa"/>
              <w:bottom w:w="100" w:type="dxa"/>
              <w:end w:w="120" w:type="dxa"/>
            </w:tcMar>
            <w:vAlign w:val="center"/>
            <w:shd w:fill="FCE4D6"/>
          </w:tcPr>
          <w:p>
            <w:r>
              <w:t>High-priority human decision</w:t>
            </w:r>
          </w:p>
        </w:tc>
      </w:tr>
      <w:tr>
        <w:tc>
          <w:tcPr>
            <w:tcW w:type="dxa" w:w="3331"/>
            <w:tcMar>
              <w:top w:w="100" w:type="dxa"/>
              <w:start w:w="120" w:type="dxa"/>
              <w:bottom w:w="100" w:type="dxa"/>
              <w:end w:w="120" w:type="dxa"/>
            </w:tcMar>
            <w:vAlign w:val="center"/>
          </w:tcPr>
          <w:p>
            <w:r>
              <w:t>NEW_EVIDENCE</w:t>
            </w:r>
          </w:p>
        </w:tc>
        <w:tc>
          <w:tcPr>
            <w:tcW w:type="dxa" w:w="3331"/>
            <w:tcMar>
              <w:top w:w="100" w:type="dxa"/>
              <w:start w:w="120" w:type="dxa"/>
              <w:bottom w:w="100" w:type="dxa"/>
              <w:end w:w="120" w:type="dxa"/>
            </w:tcMar>
            <w:vAlign w:val="center"/>
          </w:tcPr>
          <w:p>
            <w:r>
              <w:t>Relevant evidence added</w:t>
            </w:r>
          </w:p>
        </w:tc>
        <w:tc>
          <w:tcPr>
            <w:tcW w:type="dxa" w:w="3331"/>
            <w:tcMar>
              <w:top w:w="100" w:type="dxa"/>
              <w:start w:w="120" w:type="dxa"/>
              <w:bottom w:w="100" w:type="dxa"/>
              <w:end w:w="120" w:type="dxa"/>
            </w:tcMar>
            <w:vAlign w:val="center"/>
          </w:tcPr>
          <w:p>
            <w:r>
              <w:t>Optional enrichment/review</w:t>
            </w:r>
          </w:p>
        </w:tc>
      </w:tr>
    </w:tbl>
    <w:p>
      <w:pPr>
        <w:pStyle w:val="Heading1"/>
      </w:pPr>
      <w:r>
        <w:t>6. Novelty Converted into Requirements Engineering</w:t>
      </w:r>
    </w:p>
    <w:p>
      <w:r>
        <w:t>The novelty becomes credible only when it appears as explicit, testable requirements rather than as a presentation slogan.</w:t>
      </w:r>
    </w:p>
    <w:p>
      <w:pPr>
        <w:keepNext/>
      </w:pPr>
      <w:r>
        <w:rPr>
          <w:b/>
          <w:color w:val="2F5597"/>
        </w:rPr>
        <w:t>FR-36 Evidence Alignment</w:t>
      </w:r>
      <w:r>
        <w:t xml:space="preserve"> — When a new source version is ingested, the system shall attempt to map evidence units from the previous version to corresponding units in the new version.</w:t>
      </w:r>
    </w:p>
    <w:p>
      <w:pPr>
        <w:keepNext/>
      </w:pPr>
      <w:r>
        <w:rPr>
          <w:b/>
          <w:color w:val="2F5597"/>
        </w:rPr>
        <w:t>FR-37 Evidence Change Classification</w:t>
      </w:r>
      <w:r>
        <w:t xml:space="preserve"> — The system shall classify mapped evidence as unchanged, modified, removed or newly introduced, with structured change types where detectable.</w:t>
      </w:r>
    </w:p>
    <w:p>
      <w:pPr>
        <w:keepNext/>
      </w:pPr>
      <w:r>
        <w:rPr>
          <w:b/>
          <w:color w:val="2F5597"/>
        </w:rPr>
        <w:t>FR-38 Claim Impact Propagation</w:t>
      </w:r>
      <w:r>
        <w:t xml:space="preserve"> — When supporting evidence changes, the system shall identify every scientific claim dependent on that evidence.</w:t>
      </w:r>
    </w:p>
    <w:p>
      <w:pPr>
        <w:keepNext/>
      </w:pPr>
      <w:r>
        <w:rPr>
          <w:b/>
          <w:color w:val="2F5597"/>
        </w:rPr>
        <w:t>FR-39 Publication Impact Propagation</w:t>
      </w:r>
      <w:r>
        <w:t xml:space="preserve"> — The system shall identify every draft or published artifact containing an affected claim.</w:t>
      </w:r>
    </w:p>
    <w:p>
      <w:pPr>
        <w:keepNext/>
      </w:pPr>
      <w:r>
        <w:rPr>
          <w:b/>
          <w:color w:val="2F5597"/>
        </w:rPr>
        <w:t>FR-40 Evidence Conflict Detection</w:t>
      </w:r>
      <w:r>
        <w:t xml:space="preserve"> — Where permitted sources materially disagree on a claim, the system shall expose the conflict to the reviewer instead of silently selecting one source.</w:t>
      </w:r>
    </w:p>
    <w:p>
      <w:pPr>
        <w:keepNext/>
      </w:pPr>
      <w:r>
        <w:rPr>
          <w:b/>
          <w:color w:val="2F5597"/>
        </w:rPr>
        <w:t>FR-41 Insufficient Evidence Handling</w:t>
      </w:r>
      <w:r>
        <w:t xml:space="preserve"> — The generation workflow shall be able to return INSUFFICIENT_EVIDENCE rather than forcing a content answer.</w:t>
      </w:r>
    </w:p>
    <w:p>
      <w:pPr>
        <w:keepNext/>
      </w:pPr>
      <w:r>
        <w:rPr>
          <w:b/>
          <w:color w:val="2F5597"/>
        </w:rPr>
        <w:t>FR-42 Re-verification Workflow</w:t>
      </w:r>
      <w:r>
        <w:t xml:space="preserve"> — A published artifact whose supporting evidence materially changes shall enter a human re-verification workflow.</w:t>
      </w:r>
    </w:p>
    <w:p>
      <w:pPr>
        <w:keepNext/>
      </w:pPr>
      <w:r>
        <w:rPr>
          <w:b/>
          <w:color w:val="2F5597"/>
        </w:rPr>
        <w:t>FR-43 Historical Traceability</w:t>
      </w:r>
      <w:r>
        <w:t xml:space="preserve"> — The system shall preserve the exact source version and evidence mapping used when a published revision was approved.</w:t>
      </w:r>
    </w:p>
    <w:p>
      <w:r>
        <w:br w:type="page"/>
      </w:r>
    </w:p>
    <w:p>
      <w:pPr>
        <w:pStyle w:val="Heading1"/>
      </w:pPr>
      <w:r>
        <w:t>7. Domain Model for the Differentiator</w:t>
      </w:r>
    </w:p>
    <w:p>
      <w:r>
        <w:t>The following entities are the minimum set needed to implement the evidence lifecycle.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65D"/>
          </w:tcPr>
          <w:p>
            <w:r>
              <w:rPr>
                <w:b/>
                <w:color w:val="FFFFFF"/>
              </w:rPr>
              <w:t>Entity</w:t>
            </w:r>
          </w:p>
        </w:tc>
        <w:tc>
          <w:tcPr>
            <w:tcW w:type="dxa" w:w="4997"/>
            <w:shd w:fill="17365D"/>
          </w:tcPr>
          <w:p>
            <w:r>
              <w:rPr>
                <w:b/>
                <w:color w:val="FFFFFF"/>
              </w:rPr>
              <w:t>Purpose</w:t>
            </w:r>
          </w:p>
        </w:tc>
      </w:tr>
      <w:tr>
        <w:tc>
          <w:tcPr>
            <w:tcW w:type="dxa" w:w="4997"/>
            <w:tcMar>
              <w:top w:w="100" w:type="dxa"/>
              <w:start w:w="120" w:type="dxa"/>
              <w:bottom w:w="100" w:type="dxa"/>
              <w:end w:w="120" w:type="dxa"/>
            </w:tcMar>
          </w:tcPr>
          <w:p>
            <w:r>
              <w:t>Asset</w:t>
            </w:r>
          </w:p>
        </w:tc>
        <w:tc>
          <w:tcPr>
            <w:tcW w:type="dxa" w:w="4997"/>
            <w:tcMar>
              <w:top w:w="100" w:type="dxa"/>
              <w:start w:w="120" w:type="dxa"/>
              <w:bottom w:w="100" w:type="dxa"/>
              <w:end w:w="120" w:type="dxa"/>
            </w:tcMar>
          </w:tcPr>
          <w:p>
            <w:r>
              <w:t>Logical scientific resource: report, dataset, image, video, publication.</w:t>
            </w:r>
          </w:p>
        </w:tc>
      </w:tr>
      <w:tr>
        <w:tc>
          <w:tcPr>
            <w:tcW w:type="dxa" w:w="4997"/>
            <w:tcMar>
              <w:top w:w="100" w:type="dxa"/>
              <w:start w:w="120" w:type="dxa"/>
              <w:bottom w:w="100" w:type="dxa"/>
              <w:end w:w="120" w:type="dxa"/>
            </w:tcMar>
          </w:tcPr>
          <w:p>
            <w:r>
              <w:t>AssetVersion</w:t>
            </w:r>
          </w:p>
        </w:tc>
        <w:tc>
          <w:tcPr>
            <w:tcW w:type="dxa" w:w="4997"/>
            <w:tcMar>
              <w:top w:w="100" w:type="dxa"/>
              <w:start w:w="120" w:type="dxa"/>
              <w:bottom w:w="100" w:type="dxa"/>
              <w:end w:w="120" w:type="dxa"/>
            </w:tcMar>
          </w:tcPr>
          <w:p>
            <w:r>
              <w:t>Immutable version of an asset, including hash, timestamp and processing status.</w:t>
            </w:r>
          </w:p>
        </w:tc>
      </w:tr>
      <w:tr>
        <w:tc>
          <w:tcPr>
            <w:tcW w:type="dxa" w:w="4997"/>
            <w:tcMar>
              <w:top w:w="100" w:type="dxa"/>
              <w:start w:w="120" w:type="dxa"/>
              <w:bottom w:w="100" w:type="dxa"/>
              <w:end w:w="120" w:type="dxa"/>
            </w:tcMar>
          </w:tcPr>
          <w:p>
            <w:r>
              <w:t>EvidenceUnit</w:t>
            </w:r>
          </w:p>
        </w:tc>
        <w:tc>
          <w:tcPr>
            <w:tcW w:type="dxa" w:w="4997"/>
            <w:tcMar>
              <w:top w:w="100" w:type="dxa"/>
              <w:start w:w="120" w:type="dxa"/>
              <w:bottom w:w="100" w:type="dxa"/>
              <w:end w:w="120" w:type="dxa"/>
            </w:tcMar>
          </w:tcPr>
          <w:p>
            <w:r>
              <w:t>Exact evidence span: PDF page/passage, transcript interval, dataset cell/range, etc.</w:t>
            </w:r>
          </w:p>
        </w:tc>
      </w:tr>
      <w:tr>
        <w:tc>
          <w:tcPr>
            <w:tcW w:type="dxa" w:w="4997"/>
            <w:tcMar>
              <w:top w:w="100" w:type="dxa"/>
              <w:start w:w="120" w:type="dxa"/>
              <w:bottom w:w="100" w:type="dxa"/>
              <w:end w:w="120" w:type="dxa"/>
            </w:tcMar>
          </w:tcPr>
          <w:p>
            <w:r>
              <w:t>ScientificClaim</w:t>
            </w:r>
          </w:p>
        </w:tc>
        <w:tc>
          <w:tcPr>
            <w:tcW w:type="dxa" w:w="4997"/>
            <w:tcMar>
              <w:top w:w="100" w:type="dxa"/>
              <w:start w:w="120" w:type="dxa"/>
              <w:bottom w:w="100" w:type="dxa"/>
              <w:end w:w="120" w:type="dxa"/>
            </w:tcMar>
          </w:tcPr>
          <w:p>
            <w:r>
              <w:t>Atomic factual statement used in generated or edited outreach content.</w:t>
            </w:r>
          </w:p>
        </w:tc>
      </w:tr>
      <w:tr>
        <w:tc>
          <w:tcPr>
            <w:tcW w:type="dxa" w:w="4997"/>
            <w:tcMar>
              <w:top w:w="100" w:type="dxa"/>
              <w:start w:w="120" w:type="dxa"/>
              <w:bottom w:w="100" w:type="dxa"/>
              <w:end w:w="120" w:type="dxa"/>
            </w:tcMar>
          </w:tcPr>
          <w:p>
            <w:r>
              <w:t>EvidenceLink</w:t>
            </w:r>
          </w:p>
        </w:tc>
        <w:tc>
          <w:tcPr>
            <w:tcW w:type="dxa" w:w="4997"/>
            <w:tcMar>
              <w:top w:w="100" w:type="dxa"/>
              <w:start w:w="120" w:type="dxa"/>
              <w:bottom w:w="100" w:type="dxa"/>
              <w:end w:w="120" w:type="dxa"/>
            </w:tcMar>
          </w:tcPr>
          <w:p>
            <w:r>
              <w:t>Many-to-many relation connecting claims to the evidence that supports them.</w:t>
            </w:r>
          </w:p>
        </w:tc>
      </w:tr>
      <w:tr>
        <w:tc>
          <w:tcPr>
            <w:tcW w:type="dxa" w:w="4997"/>
            <w:tcMar>
              <w:top w:w="100" w:type="dxa"/>
              <w:start w:w="120" w:type="dxa"/>
              <w:bottom w:w="100" w:type="dxa"/>
              <w:end w:w="120" w:type="dxa"/>
            </w:tcMar>
          </w:tcPr>
          <w:p>
            <w:r>
              <w:t>DraftRevision</w:t>
            </w:r>
          </w:p>
        </w:tc>
        <w:tc>
          <w:tcPr>
            <w:tcW w:type="dxa" w:w="4997"/>
            <w:tcMar>
              <w:top w:w="100" w:type="dxa"/>
              <w:start w:w="120" w:type="dxa"/>
              <w:bottom w:w="100" w:type="dxa"/>
              <w:end w:w="120" w:type="dxa"/>
            </w:tcMar>
          </w:tcPr>
          <w:p>
            <w:r>
              <w:t>Versioned outreach content; approval applies to a specific revision.</w:t>
            </w:r>
          </w:p>
        </w:tc>
      </w:tr>
      <w:tr>
        <w:tc>
          <w:tcPr>
            <w:tcW w:type="dxa" w:w="4997"/>
            <w:tcMar>
              <w:top w:w="100" w:type="dxa"/>
              <w:start w:w="120" w:type="dxa"/>
              <w:bottom w:w="100" w:type="dxa"/>
              <w:end w:w="120" w:type="dxa"/>
            </w:tcMar>
          </w:tcPr>
          <w:p>
            <w:r>
              <w:t>Publication</w:t>
            </w:r>
          </w:p>
        </w:tc>
        <w:tc>
          <w:tcPr>
            <w:tcW w:type="dxa" w:w="4997"/>
            <w:tcMar>
              <w:top w:w="100" w:type="dxa"/>
              <w:start w:w="120" w:type="dxa"/>
              <w:bottom w:w="100" w:type="dxa"/>
              <w:end w:w="120" w:type="dxa"/>
            </w:tcMar>
          </w:tcPr>
          <w:p>
            <w:r>
              <w:t>Approved public-facing content connected to the approved revision.</w:t>
            </w:r>
          </w:p>
        </w:tc>
      </w:tr>
      <w:tr>
        <w:tc>
          <w:tcPr>
            <w:tcW w:type="dxa" w:w="4997"/>
            <w:tcMar>
              <w:top w:w="100" w:type="dxa"/>
              <w:start w:w="120" w:type="dxa"/>
              <w:bottom w:w="100" w:type="dxa"/>
              <w:end w:w="120" w:type="dxa"/>
            </w:tcMar>
          </w:tcPr>
          <w:p>
            <w:r>
              <w:t>EvidenceDelta</w:t>
            </w:r>
          </w:p>
        </w:tc>
        <w:tc>
          <w:tcPr>
            <w:tcW w:type="dxa" w:w="4997"/>
            <w:tcMar>
              <w:top w:w="100" w:type="dxa"/>
              <w:start w:w="120" w:type="dxa"/>
              <w:bottom w:w="100" w:type="dxa"/>
              <w:end w:w="120" w:type="dxa"/>
            </w:tcMar>
          </w:tcPr>
          <w:p>
            <w:r>
              <w:t>Difference between aligned evidence units across source versions.</w:t>
            </w:r>
          </w:p>
        </w:tc>
      </w:tr>
      <w:tr>
        <w:tc>
          <w:tcPr>
            <w:tcW w:type="dxa" w:w="4997"/>
            <w:tcMar>
              <w:top w:w="100" w:type="dxa"/>
              <w:start w:w="120" w:type="dxa"/>
              <w:bottom w:w="100" w:type="dxa"/>
              <w:end w:w="120" w:type="dxa"/>
            </w:tcMar>
          </w:tcPr>
          <w:p>
            <w:r>
              <w:t>ImpactRecord</w:t>
            </w:r>
          </w:p>
        </w:tc>
        <w:tc>
          <w:tcPr>
            <w:tcW w:type="dxa" w:w="4997"/>
            <w:tcMar>
              <w:top w:w="100" w:type="dxa"/>
              <w:start w:w="120" w:type="dxa"/>
              <w:bottom w:w="100" w:type="dxa"/>
              <w:end w:w="120" w:type="dxa"/>
            </w:tcMar>
          </w:tcPr>
          <w:p>
            <w:r>
              <w:t>Records which claims/publications are affected by an EvidenceDelta.</w:t>
            </w:r>
          </w:p>
        </w:tc>
      </w:tr>
      <w:tr>
        <w:tc>
          <w:tcPr>
            <w:tcW w:type="dxa" w:w="4997"/>
            <w:tcMar>
              <w:top w:w="100" w:type="dxa"/>
              <w:start w:w="120" w:type="dxa"/>
              <w:bottom w:w="100" w:type="dxa"/>
              <w:end w:w="120" w:type="dxa"/>
            </w:tcMar>
          </w:tcPr>
          <w:p>
            <w:r>
              <w:t>ReviewTask</w:t>
            </w:r>
          </w:p>
        </w:tc>
        <w:tc>
          <w:tcPr>
            <w:tcW w:type="dxa" w:w="4997"/>
            <w:tcMar>
              <w:top w:w="100" w:type="dxa"/>
              <w:start w:w="120" w:type="dxa"/>
              <w:bottom w:w="100" w:type="dxa"/>
              <w:end w:w="120" w:type="dxa"/>
            </w:tcMar>
          </w:tcPr>
          <w:p>
            <w:r>
              <w:t>Human verification task created by content submission or source change.</w:t>
            </w:r>
          </w:p>
        </w:tc>
      </w:tr>
    </w:tbl>
    <w:p>
      <w:pPr>
        <w:pStyle w:val="Heading1"/>
      </w:pPr>
      <w:r>
        <w:t>8. End-to-End Novelty Flow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rPr>
              <w:t>Step</w:t>
            </w:r>
          </w:p>
        </w:tc>
        <w:tc>
          <w:tcPr>
            <w:tcW w:type="dxa" w:w="3331"/>
            <w:shd w:fill="17365D"/>
          </w:tcPr>
          <w:p>
            <w:r>
              <w:rPr>
                <w:b/>
                <w:color w:val="FFFFFF"/>
              </w:rPr>
              <w:t>Stage</w:t>
            </w:r>
          </w:p>
        </w:tc>
        <w:tc>
          <w:tcPr>
            <w:tcW w:type="dxa" w:w="3331"/>
            <w:shd w:fill="17365D"/>
          </w:tcPr>
          <w:p>
            <w:r>
              <w:rPr>
                <w:b/>
                <w:color w:val="FFFFFF"/>
              </w:rPr>
              <w:t>What happens</w:t>
            </w:r>
          </w:p>
        </w:tc>
      </w:tr>
      <w:tr>
        <w:tc>
          <w:tcPr>
            <w:tcW w:type="dxa" w:w="3331"/>
            <w:tcMar>
              <w:top w:w="100" w:type="dxa"/>
              <w:start w:w="120" w:type="dxa"/>
              <w:bottom w:w="100" w:type="dxa"/>
              <w:end w:w="120" w:type="dxa"/>
            </w:tcMar>
            <w:shd w:fill="EAF0F8"/>
          </w:tcPr>
          <w:p>
            <w:r>
              <w:t>1</w:t>
            </w:r>
          </w:p>
        </w:tc>
        <w:tc>
          <w:tcPr>
            <w:tcW w:type="dxa" w:w="3331"/>
            <w:tcMar>
              <w:top w:w="100" w:type="dxa"/>
              <w:start w:w="120" w:type="dxa"/>
              <w:bottom w:w="100" w:type="dxa"/>
              <w:end w:w="120" w:type="dxa"/>
            </w:tcMar>
          </w:tcPr>
          <w:p>
            <w:r>
              <w:t>Source ingestion</w:t>
            </w:r>
          </w:p>
        </w:tc>
        <w:tc>
          <w:tcPr>
            <w:tcW w:type="dxa" w:w="3331"/>
            <w:tcMar>
              <w:top w:w="100" w:type="dxa"/>
              <w:start w:w="120" w:type="dxa"/>
              <w:bottom w:w="100" w:type="dxa"/>
              <w:end w:w="120" w:type="dxa"/>
            </w:tcMar>
          </w:tcPr>
          <w:p>
            <w:r>
              <w:t>Upload a permitted NCPOR report/media asset; preserve the original and create AssetVersion V1.</w:t>
            </w:r>
          </w:p>
        </w:tc>
      </w:tr>
      <w:tr>
        <w:tc>
          <w:tcPr>
            <w:tcW w:type="dxa" w:w="3331"/>
            <w:tcMar>
              <w:top w:w="100" w:type="dxa"/>
              <w:start w:w="120" w:type="dxa"/>
              <w:bottom w:w="100" w:type="dxa"/>
              <w:end w:w="120" w:type="dxa"/>
            </w:tcMar>
            <w:shd w:fill="EAF0F8"/>
          </w:tcPr>
          <w:p>
            <w:r>
              <w:t>2</w:t>
            </w:r>
          </w:p>
        </w:tc>
        <w:tc>
          <w:tcPr>
            <w:tcW w:type="dxa" w:w="3331"/>
            <w:tcMar>
              <w:top w:w="100" w:type="dxa"/>
              <w:start w:w="120" w:type="dxa"/>
              <w:bottom w:w="100" w:type="dxa"/>
              <w:end w:w="120" w:type="dxa"/>
            </w:tcMar>
          </w:tcPr>
          <w:p>
            <w:r>
              <w:t>Evidence extraction</w:t>
            </w:r>
          </w:p>
        </w:tc>
        <w:tc>
          <w:tcPr>
            <w:tcW w:type="dxa" w:w="3331"/>
            <w:tcMar>
              <w:top w:w="100" w:type="dxa"/>
              <w:start w:w="120" w:type="dxa"/>
              <w:bottom w:w="100" w:type="dxa"/>
              <w:end w:w="120" w:type="dxa"/>
            </w:tcMar>
          </w:tcPr>
          <w:p>
            <w:r>
              <w:t>Parse the source into stable EvidenceUnits with page/timestamp/data-location references.</w:t>
            </w:r>
          </w:p>
        </w:tc>
      </w:tr>
      <w:tr>
        <w:tc>
          <w:tcPr>
            <w:tcW w:type="dxa" w:w="3331"/>
            <w:tcMar>
              <w:top w:w="100" w:type="dxa"/>
              <w:start w:w="120" w:type="dxa"/>
              <w:bottom w:w="100" w:type="dxa"/>
              <w:end w:w="120" w:type="dxa"/>
            </w:tcMar>
            <w:shd w:fill="EAF0F8"/>
          </w:tcPr>
          <w:p>
            <w:r>
              <w:t>3</w:t>
            </w:r>
          </w:p>
        </w:tc>
        <w:tc>
          <w:tcPr>
            <w:tcW w:type="dxa" w:w="3331"/>
            <w:tcMar>
              <w:top w:w="100" w:type="dxa"/>
              <w:start w:w="120" w:type="dxa"/>
              <w:bottom w:w="100" w:type="dxa"/>
              <w:end w:w="120" w:type="dxa"/>
            </w:tcMar>
          </w:tcPr>
          <w:p>
            <w:r>
              <w:t>Grounded drafting</w:t>
            </w:r>
          </w:p>
        </w:tc>
        <w:tc>
          <w:tcPr>
            <w:tcW w:type="dxa" w:w="3331"/>
            <w:tcMar>
              <w:top w:w="100" w:type="dxa"/>
              <w:start w:w="120" w:type="dxa"/>
              <w:bottom w:w="100" w:type="dxa"/>
              <w:end w:w="120" w:type="dxa"/>
            </w:tcMar>
          </w:tcPr>
          <w:p>
            <w:r>
              <w:t>Generate/edit outreach content; decompose material factual text into ScientificClaims linked to EvidenceUnits.</w:t>
            </w:r>
          </w:p>
        </w:tc>
      </w:tr>
      <w:tr>
        <w:tc>
          <w:tcPr>
            <w:tcW w:type="dxa" w:w="3331"/>
            <w:tcMar>
              <w:top w:w="100" w:type="dxa"/>
              <w:start w:w="120" w:type="dxa"/>
              <w:bottom w:w="100" w:type="dxa"/>
              <w:end w:w="120" w:type="dxa"/>
            </w:tcMar>
            <w:shd w:fill="EAF0F8"/>
          </w:tcPr>
          <w:p>
            <w:r>
              <w:t>4</w:t>
            </w:r>
          </w:p>
        </w:tc>
        <w:tc>
          <w:tcPr>
            <w:tcW w:type="dxa" w:w="3331"/>
            <w:tcMar>
              <w:top w:w="100" w:type="dxa"/>
              <w:start w:w="120" w:type="dxa"/>
              <w:bottom w:w="100" w:type="dxa"/>
              <w:end w:w="120" w:type="dxa"/>
            </w:tcMar>
          </w:tcPr>
          <w:p>
            <w:r>
              <w:t>Human approval</w:t>
            </w:r>
          </w:p>
        </w:tc>
        <w:tc>
          <w:tcPr>
            <w:tcW w:type="dxa" w:w="3331"/>
            <w:tcMar>
              <w:top w:w="100" w:type="dxa"/>
              <w:start w:w="120" w:type="dxa"/>
              <w:bottom w:w="100" w:type="dxa"/>
              <w:end w:w="120" w:type="dxa"/>
            </w:tcMar>
          </w:tcPr>
          <w:p>
            <w:r>
              <w:t>Reviewer validates claim-evidence pairs and approves a specific DraftRevision.</w:t>
            </w:r>
          </w:p>
        </w:tc>
      </w:tr>
      <w:tr>
        <w:tc>
          <w:tcPr>
            <w:tcW w:type="dxa" w:w="3331"/>
            <w:tcMar>
              <w:top w:w="100" w:type="dxa"/>
              <w:start w:w="120" w:type="dxa"/>
              <w:bottom w:w="100" w:type="dxa"/>
              <w:end w:w="120" w:type="dxa"/>
            </w:tcMar>
            <w:shd w:fill="EAF0F8"/>
          </w:tcPr>
          <w:p>
            <w:r>
              <w:t>5</w:t>
            </w:r>
          </w:p>
        </w:tc>
        <w:tc>
          <w:tcPr>
            <w:tcW w:type="dxa" w:w="3331"/>
            <w:tcMar>
              <w:top w:w="100" w:type="dxa"/>
              <w:start w:w="120" w:type="dxa"/>
              <w:bottom w:w="100" w:type="dxa"/>
              <w:end w:w="120" w:type="dxa"/>
            </w:tcMar>
          </w:tcPr>
          <w:p>
            <w:r>
              <w:t>Publication</w:t>
            </w:r>
          </w:p>
        </w:tc>
        <w:tc>
          <w:tcPr>
            <w:tcW w:type="dxa" w:w="3331"/>
            <w:tcMar>
              <w:top w:w="100" w:type="dxa"/>
              <w:start w:w="120" w:type="dxa"/>
              <w:bottom w:w="100" w:type="dxa"/>
              <w:end w:w="120" w:type="dxa"/>
            </w:tcMar>
          </w:tcPr>
          <w:p>
            <w:r>
              <w:t>Approved revision becomes a Publication while preserving its evidence graph.</w:t>
            </w:r>
          </w:p>
        </w:tc>
      </w:tr>
      <w:tr>
        <w:tc>
          <w:tcPr>
            <w:tcW w:type="dxa" w:w="3331"/>
            <w:tcMar>
              <w:top w:w="100" w:type="dxa"/>
              <w:start w:w="120" w:type="dxa"/>
              <w:bottom w:w="100" w:type="dxa"/>
              <w:end w:w="120" w:type="dxa"/>
            </w:tcMar>
            <w:shd w:fill="EAF0F8"/>
          </w:tcPr>
          <w:p>
            <w:r>
              <w:t>6</w:t>
            </w:r>
          </w:p>
        </w:tc>
        <w:tc>
          <w:tcPr>
            <w:tcW w:type="dxa" w:w="3331"/>
            <w:tcMar>
              <w:top w:w="100" w:type="dxa"/>
              <w:start w:w="120" w:type="dxa"/>
              <w:bottom w:w="100" w:type="dxa"/>
              <w:end w:w="120" w:type="dxa"/>
            </w:tcMar>
          </w:tcPr>
          <w:p>
            <w:r>
              <w:t>Source revision</w:t>
            </w:r>
          </w:p>
        </w:tc>
        <w:tc>
          <w:tcPr>
            <w:tcW w:type="dxa" w:w="3331"/>
            <w:tcMar>
              <w:top w:w="100" w:type="dxa"/>
              <w:start w:w="120" w:type="dxa"/>
              <w:bottom w:w="100" w:type="dxa"/>
              <w:end w:w="120" w:type="dxa"/>
            </w:tcMar>
          </w:tcPr>
          <w:p>
            <w:r>
              <w:t>Upload V2 of the same source; preserve V1 and align V1 evidence to V2 evidence.</w:t>
            </w:r>
          </w:p>
        </w:tc>
      </w:tr>
      <w:tr>
        <w:tc>
          <w:tcPr>
            <w:tcW w:type="dxa" w:w="3331"/>
            <w:tcMar>
              <w:top w:w="100" w:type="dxa"/>
              <w:start w:w="120" w:type="dxa"/>
              <w:bottom w:w="100" w:type="dxa"/>
              <w:end w:w="120" w:type="dxa"/>
            </w:tcMar>
            <w:shd w:fill="EAF0F8"/>
          </w:tcPr>
          <w:p>
            <w:r>
              <w:t>7</w:t>
            </w:r>
          </w:p>
        </w:tc>
        <w:tc>
          <w:tcPr>
            <w:tcW w:type="dxa" w:w="3331"/>
            <w:tcMar>
              <w:top w:w="100" w:type="dxa"/>
              <w:start w:w="120" w:type="dxa"/>
              <w:bottom w:w="100" w:type="dxa"/>
              <w:end w:w="120" w:type="dxa"/>
            </w:tcMar>
          </w:tcPr>
          <w:p>
            <w:r>
              <w:t>Evidence drift</w:t>
            </w:r>
          </w:p>
        </w:tc>
        <w:tc>
          <w:tcPr>
            <w:tcW w:type="dxa" w:w="3331"/>
            <w:tcMar>
              <w:top w:w="100" w:type="dxa"/>
              <w:start w:w="120" w:type="dxa"/>
              <w:bottom w:w="100" w:type="dxa"/>
              <w:end w:w="120" w:type="dxa"/>
            </w:tcMar>
          </w:tcPr>
          <w:p>
            <w:r>
              <w:t>Create EvidenceDelta objects and classify changes.</w:t>
            </w:r>
          </w:p>
        </w:tc>
      </w:tr>
      <w:tr>
        <w:tc>
          <w:tcPr>
            <w:tcW w:type="dxa" w:w="3331"/>
            <w:tcMar>
              <w:top w:w="100" w:type="dxa"/>
              <w:start w:w="120" w:type="dxa"/>
              <w:bottom w:w="100" w:type="dxa"/>
              <w:end w:w="120" w:type="dxa"/>
            </w:tcMar>
            <w:shd w:fill="EAF0F8"/>
          </w:tcPr>
          <w:p>
            <w:r>
              <w:t>8</w:t>
            </w:r>
          </w:p>
        </w:tc>
        <w:tc>
          <w:tcPr>
            <w:tcW w:type="dxa" w:w="3331"/>
            <w:tcMar>
              <w:top w:w="100" w:type="dxa"/>
              <w:start w:w="120" w:type="dxa"/>
              <w:bottom w:w="100" w:type="dxa"/>
              <w:end w:w="120" w:type="dxa"/>
            </w:tcMar>
          </w:tcPr>
          <w:p>
            <w:r>
              <w:t>Impact propagation</w:t>
            </w:r>
          </w:p>
        </w:tc>
        <w:tc>
          <w:tcPr>
            <w:tcW w:type="dxa" w:w="3331"/>
            <w:tcMar>
              <w:top w:w="100" w:type="dxa"/>
              <w:start w:w="120" w:type="dxa"/>
              <w:bottom w:w="100" w:type="dxa"/>
              <w:end w:w="120" w:type="dxa"/>
            </w:tcMar>
          </w:tcPr>
          <w:p>
            <w:r>
              <w:t>Traverse changed evidence to dependent claims and publications.</w:t>
            </w:r>
          </w:p>
        </w:tc>
      </w:tr>
      <w:tr>
        <w:tc>
          <w:tcPr>
            <w:tcW w:type="dxa" w:w="3331"/>
            <w:tcMar>
              <w:top w:w="100" w:type="dxa"/>
              <w:start w:w="120" w:type="dxa"/>
              <w:bottom w:w="100" w:type="dxa"/>
              <w:end w:w="120" w:type="dxa"/>
            </w:tcMar>
            <w:shd w:fill="EAF0F8"/>
          </w:tcPr>
          <w:p>
            <w:r>
              <w:t>9</w:t>
            </w:r>
          </w:p>
        </w:tc>
        <w:tc>
          <w:tcPr>
            <w:tcW w:type="dxa" w:w="3331"/>
            <w:tcMar>
              <w:top w:w="100" w:type="dxa"/>
              <w:start w:w="120" w:type="dxa"/>
              <w:bottom w:w="100" w:type="dxa"/>
              <w:end w:w="120" w:type="dxa"/>
            </w:tcMar>
          </w:tcPr>
          <w:p>
            <w:r>
              <w:t>Targeted re-verification</w:t>
            </w:r>
          </w:p>
        </w:tc>
        <w:tc>
          <w:tcPr>
            <w:tcW w:type="dxa" w:w="3331"/>
            <w:tcMar>
              <w:top w:w="100" w:type="dxa"/>
              <w:start w:w="120" w:type="dxa"/>
              <w:bottom w:w="100" w:type="dxa"/>
              <w:end w:w="120" w:type="dxa"/>
            </w:tcMar>
          </w:tcPr>
          <w:p>
            <w:r>
              <w:t>Create ReviewTasks only for affected content; reviewer compares old/new evidence and confirms, revises or retires claims.</w:t>
            </w:r>
          </w:p>
        </w:tc>
      </w:tr>
    </w:tbl>
    <w:p>
      <w:pPr>
        <w:pStyle w:val="Heading1"/>
      </w:pPr>
      <w:r>
        <w:t>9. How We Will Prove the Differentiator</w:t>
      </w:r>
    </w:p>
    <w:p>
      <w:pPr>
        <w:pStyle w:val="ListBullet"/>
      </w:pPr>
      <w:r>
        <w:rPr>
          <w:b/>
        </w:rPr>
        <w:t xml:space="preserve">Claim traceability: </w:t>
      </w:r>
      <w:r>
        <w:t>% of factual claims that resolve to a valid evidence location and exact source version.</w:t>
      </w:r>
    </w:p>
    <w:p>
      <w:pPr>
        <w:pStyle w:val="ListBullet"/>
      </w:pPr>
      <w:r>
        <w:rPr>
          <w:b/>
        </w:rPr>
        <w:t xml:space="preserve">Change recall: </w:t>
      </w:r>
      <w:r>
        <w:t>Among deliberately changed evidence units, % of dependent claims/publications correctly identified.</w:t>
      </w:r>
    </w:p>
    <w:p>
      <w:pPr>
        <w:pStyle w:val="ListBullet"/>
      </w:pPr>
      <w:r>
        <w:rPr>
          <w:b/>
        </w:rPr>
        <w:t xml:space="preserve">Over-flag rate: </w:t>
      </w:r>
      <w:r>
        <w:t>% of unaffected publications unnecessarily sent for review.</w:t>
      </w:r>
    </w:p>
    <w:p>
      <w:pPr>
        <w:pStyle w:val="ListBullet"/>
      </w:pPr>
      <w:r>
        <w:rPr>
          <w:b/>
        </w:rPr>
        <w:t xml:space="preserve">Evidence alignment accuracy: </w:t>
      </w:r>
      <w:r>
        <w:t>% of old evidence units correctly matched to their new-version counterparts.</w:t>
      </w:r>
    </w:p>
    <w:p>
      <w:pPr>
        <w:pStyle w:val="ListBullet"/>
      </w:pPr>
      <w:r>
        <w:rPr>
          <w:b/>
        </w:rPr>
        <w:t xml:space="preserve">Unsupported-answer behavior: </w:t>
      </w:r>
      <w:r>
        <w:t>% of unanswerable benchmark questions for which the system abstains instead of fabricating evidence.</w:t>
      </w:r>
    </w:p>
    <w:p>
      <w:pPr>
        <w:pStyle w:val="ListBullet"/>
      </w:pPr>
      <w:r>
        <w:rPr>
          <w:b/>
        </w:rPr>
        <w:t xml:space="preserve">Reviewer time saved: </w:t>
      </w:r>
      <w:r>
        <w:t>Time to identify and validate affected content manually vs. with impact propagation.</w:t>
      </w:r>
    </w:p>
    <w:p>
      <w:r>
        <w:rPr>
          <w:b/>
        </w:rPr>
        <w:t xml:space="preserve">Recommended demo test: </w:t>
      </w:r>
      <w:r>
        <w:t>use a clearly labelled synthetic correction copy of one report. Change a number/date/location, upload it as V2, and show that the previously approved claim enters RECHECK_REQUIRED while unrelated claims stay untouched as far as the evidence-alignment logic allows.</w:t>
      </w:r>
    </w:p>
    <w:p>
      <w:pPr>
        <w:pStyle w:val="Heading1"/>
      </w:pPr>
      <w:r>
        <w:t>10. Competitive Positioning for SIH</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rPr>
              <w:t>Capability</w:t>
            </w:r>
          </w:p>
        </w:tc>
        <w:tc>
          <w:tcPr>
            <w:tcW w:type="dxa" w:w="3331"/>
            <w:shd w:fill="17365D"/>
          </w:tcPr>
          <w:p>
            <w:r>
              <w:rPr>
                <w:b/>
                <w:color w:val="FFFFFF"/>
              </w:rPr>
              <w:t>Purpose</w:t>
            </w:r>
          </w:p>
        </w:tc>
        <w:tc>
          <w:tcPr>
            <w:tcW w:type="dxa" w:w="3331"/>
            <w:shd w:fill="17365D"/>
          </w:tcPr>
          <w:p>
            <w:r>
              <w:rPr>
                <w:b/>
                <w:color w:val="FFFFFF"/>
              </w:rPr>
              <w:t>Position in our solution</w:t>
            </w:r>
          </w:p>
        </w:tc>
      </w:tr>
      <w:tr>
        <w:tc>
          <w:tcPr>
            <w:tcW w:type="dxa" w:w="3331"/>
            <w:tcMar>
              <w:top w:w="100" w:type="dxa"/>
              <w:start w:w="120" w:type="dxa"/>
              <w:bottom w:w="100" w:type="dxa"/>
              <w:end w:w="120" w:type="dxa"/>
            </w:tcMar>
          </w:tcPr>
          <w:p>
            <w:r>
              <w:t>Basic repository</w:t>
            </w:r>
          </w:p>
        </w:tc>
        <w:tc>
          <w:tcPr>
            <w:tcW w:type="dxa" w:w="3331"/>
            <w:tcMar>
              <w:top w:w="100" w:type="dxa"/>
              <w:start w:w="120" w:type="dxa"/>
              <w:bottom w:w="100" w:type="dxa"/>
              <w:end w:w="120" w:type="dxa"/>
            </w:tcMar>
          </w:tcPr>
          <w:p>
            <w:r>
              <w:t>Store/browse files</w:t>
            </w:r>
          </w:p>
        </w:tc>
        <w:tc>
          <w:tcPr>
            <w:tcW w:type="dxa" w:w="3331"/>
            <w:tcMar>
              <w:top w:w="100" w:type="dxa"/>
              <w:start w:w="120" w:type="dxa"/>
              <w:bottom w:w="100" w:type="dxa"/>
              <w:end w:w="120" w:type="dxa"/>
            </w:tcMar>
          </w:tcPr>
          <w:p>
            <w:r>
              <w:t>Required baseline, low differentiation</w:t>
            </w:r>
          </w:p>
        </w:tc>
      </w:tr>
      <w:tr>
        <w:tc>
          <w:tcPr>
            <w:tcW w:type="dxa" w:w="3331"/>
            <w:tcMar>
              <w:top w:w="100" w:type="dxa"/>
              <w:start w:w="120" w:type="dxa"/>
              <w:bottom w:w="100" w:type="dxa"/>
              <w:end w:w="120" w:type="dxa"/>
            </w:tcMar>
          </w:tcPr>
          <w:p>
            <w:r>
              <w:t>AI search/chatbot</w:t>
            </w:r>
          </w:p>
        </w:tc>
        <w:tc>
          <w:tcPr>
            <w:tcW w:type="dxa" w:w="3331"/>
            <w:tcMar>
              <w:top w:w="100" w:type="dxa"/>
              <w:start w:w="120" w:type="dxa"/>
              <w:bottom w:w="100" w:type="dxa"/>
              <w:end w:w="120" w:type="dxa"/>
            </w:tcMar>
          </w:tcPr>
          <w:p>
            <w:r>
              <w:t>Ask questions over PDFs</w:t>
            </w:r>
          </w:p>
        </w:tc>
        <w:tc>
          <w:tcPr>
            <w:tcW w:type="dxa" w:w="3331"/>
            <w:tcMar>
              <w:top w:w="100" w:type="dxa"/>
              <w:start w:w="120" w:type="dxa"/>
              <w:bottom w:w="100" w:type="dxa"/>
              <w:end w:w="120" w:type="dxa"/>
            </w:tcMar>
          </w:tcPr>
          <w:p>
            <w:r>
              <w:t>Useful, common pattern</w:t>
            </w:r>
          </w:p>
        </w:tc>
      </w:tr>
      <w:tr>
        <w:tc>
          <w:tcPr>
            <w:tcW w:type="dxa" w:w="3331"/>
            <w:tcMar>
              <w:top w:w="100" w:type="dxa"/>
              <w:start w:w="120" w:type="dxa"/>
              <w:bottom w:w="100" w:type="dxa"/>
              <w:end w:w="120" w:type="dxa"/>
            </w:tcMar>
          </w:tcPr>
          <w:p>
            <w:r>
              <w:t>RAG + citations</w:t>
            </w:r>
          </w:p>
        </w:tc>
        <w:tc>
          <w:tcPr>
            <w:tcW w:type="dxa" w:w="3331"/>
            <w:tcMar>
              <w:top w:w="100" w:type="dxa"/>
              <w:start w:w="120" w:type="dxa"/>
              <w:bottom w:w="100" w:type="dxa"/>
              <w:end w:w="120" w:type="dxa"/>
            </w:tcMar>
          </w:tcPr>
          <w:p>
            <w:r>
              <w:t>Answers linked to sources</w:t>
            </w:r>
          </w:p>
        </w:tc>
        <w:tc>
          <w:tcPr>
            <w:tcW w:type="dxa" w:w="3331"/>
            <w:tcMar>
              <w:top w:w="100" w:type="dxa"/>
              <w:start w:w="120" w:type="dxa"/>
              <w:bottom w:w="100" w:type="dxa"/>
              <w:end w:w="120" w:type="dxa"/>
            </w:tcMar>
          </w:tcPr>
          <w:p>
            <w:r>
              <w:t>Strong trust feature, but increasingly standard</w:t>
            </w:r>
          </w:p>
        </w:tc>
      </w:tr>
      <w:tr>
        <w:tc>
          <w:tcPr>
            <w:tcW w:type="dxa" w:w="3331"/>
            <w:tcMar>
              <w:top w:w="100" w:type="dxa"/>
              <w:start w:w="120" w:type="dxa"/>
              <w:bottom w:w="100" w:type="dxa"/>
              <w:end w:w="120" w:type="dxa"/>
            </w:tcMar>
          </w:tcPr>
          <w:p>
            <w:r>
              <w:t>Versioned provenance</w:t>
            </w:r>
          </w:p>
        </w:tc>
        <w:tc>
          <w:tcPr>
            <w:tcW w:type="dxa" w:w="3331"/>
            <w:tcMar>
              <w:top w:w="100" w:type="dxa"/>
              <w:start w:w="120" w:type="dxa"/>
              <w:bottom w:w="100" w:type="dxa"/>
              <w:end w:w="120" w:type="dxa"/>
            </w:tcMar>
          </w:tcPr>
          <w:p>
            <w:r>
              <w:t>Know exact source version/hash</w:t>
            </w:r>
          </w:p>
        </w:tc>
        <w:tc>
          <w:tcPr>
            <w:tcW w:type="dxa" w:w="3331"/>
            <w:tcMar>
              <w:top w:w="100" w:type="dxa"/>
              <w:start w:w="120" w:type="dxa"/>
              <w:bottom w:w="100" w:type="dxa"/>
              <w:end w:w="120" w:type="dxa"/>
            </w:tcMar>
          </w:tcPr>
          <w:p>
            <w:r>
              <w:t>Strong engineering foundation</w:t>
            </w:r>
          </w:p>
        </w:tc>
      </w:tr>
      <w:tr>
        <w:tc>
          <w:tcPr>
            <w:tcW w:type="dxa" w:w="3331"/>
            <w:tcMar>
              <w:top w:w="100" w:type="dxa"/>
              <w:start w:w="120" w:type="dxa"/>
              <w:bottom w:w="100" w:type="dxa"/>
              <w:end w:w="120" w:type="dxa"/>
            </w:tcMar>
            <w:shd w:fill="E2F0D9"/>
          </w:tcPr>
          <w:p>
            <w:r>
              <w:t>Living Evidence Graph</w:t>
            </w:r>
          </w:p>
        </w:tc>
        <w:tc>
          <w:tcPr>
            <w:tcW w:type="dxa" w:w="3331"/>
            <w:tcMar>
              <w:top w:w="100" w:type="dxa"/>
              <w:start w:w="120" w:type="dxa"/>
              <w:bottom w:w="100" w:type="dxa"/>
              <w:end w:w="120" w:type="dxa"/>
            </w:tcMar>
            <w:shd w:fill="E2F0D9"/>
          </w:tcPr>
          <w:p>
            <w:r>
              <w:t>Claim-level evidence lineage across content revisions</w:t>
            </w:r>
          </w:p>
        </w:tc>
        <w:tc>
          <w:tcPr>
            <w:tcW w:type="dxa" w:w="3331"/>
            <w:tcMar>
              <w:top w:w="100" w:type="dxa"/>
              <w:start w:w="120" w:type="dxa"/>
              <w:bottom w:w="100" w:type="dxa"/>
              <w:end w:w="120" w:type="dxa"/>
            </w:tcMar>
            <w:shd w:fill="E2F0D9"/>
          </w:tcPr>
          <w:p>
            <w:r>
              <w:t>Core architecture</w:t>
            </w:r>
          </w:p>
        </w:tc>
      </w:tr>
      <w:tr>
        <w:tc>
          <w:tcPr>
            <w:tcW w:type="dxa" w:w="3331"/>
            <w:tcMar>
              <w:top w:w="100" w:type="dxa"/>
              <w:start w:w="120" w:type="dxa"/>
              <w:bottom w:w="100" w:type="dxa"/>
              <w:end w:w="120" w:type="dxa"/>
            </w:tcMar>
            <w:shd w:fill="E2F0D9"/>
          </w:tcPr>
          <w:p>
            <w:r>
              <w:t>Evidence Drift + Impact Propagation</w:t>
            </w:r>
          </w:p>
        </w:tc>
        <w:tc>
          <w:tcPr>
            <w:tcW w:type="dxa" w:w="3331"/>
            <w:tcMar>
              <w:top w:w="100" w:type="dxa"/>
              <w:start w:w="120" w:type="dxa"/>
              <w:bottom w:w="100" w:type="dxa"/>
              <w:end w:w="120" w:type="dxa"/>
            </w:tcMar>
            <w:shd w:fill="E2F0D9"/>
          </w:tcPr>
          <w:p>
            <w:r>
              <w:t>Source change automatically creates targeted claim/publication re-verification</w:t>
            </w:r>
          </w:p>
        </w:tc>
        <w:tc>
          <w:tcPr>
            <w:tcW w:type="dxa" w:w="3331"/>
            <w:tcMar>
              <w:top w:w="100" w:type="dxa"/>
              <w:start w:w="120" w:type="dxa"/>
              <w:bottom w:w="100" w:type="dxa"/>
              <w:end w:w="120" w:type="dxa"/>
            </w:tcMar>
            <w:shd w:fill="E2F0D9"/>
          </w:tcPr>
          <w:p>
            <w:r>
              <w:t>Primary differentiator</w:t>
            </w:r>
          </w:p>
        </w:tc>
      </w:tr>
    </w:tbl>
    <w:p>
      <w:r>
        <w:br w:type="page"/>
      </w:r>
    </w:p>
    <w:p>
      <w:pPr>
        <w:pStyle w:val="Heading1"/>
      </w:pPr>
      <w:r>
        <w:t>11. Jury Pitch: 30-Second Version</w:t>
      </w:r>
    </w:p>
    <w:tbl>
      <w:tblPr>
        <w:tblW w:type="auto" w:w="0"/>
        <w:tblLayout w:type="fixed"/>
        <w:tblLook w:firstColumn="1" w:firstRow="1" w:lastColumn="0" w:lastRow="0" w:noHBand="0" w:noVBand="1" w:val="04A0"/>
      </w:tblPr>
      <w:tblGrid>
        <w:gridCol w:w="9216"/>
      </w:tblGrid>
      <w:tr>
        <w:tc>
          <w:tcPr>
            <w:tcW w:type="dxa" w:w="9994"/>
            <w:shd w:fill="EAF0F8"/>
            <w:tcMar>
              <w:top w:w="220" w:type="dxa"/>
              <w:start w:w="240" w:type="dxa"/>
              <w:bottom w:w="220" w:type="dxa"/>
              <w:end w:w="240" w:type="dxa"/>
            </w:tcMar>
          </w:tcPr>
          <w:p>
            <w:r>
              <w:rPr>
                <w:b/>
                <w:color w:val="17365D"/>
                <w:sz w:val="24"/>
              </w:rPr>
              <w:t>“NCPOR already has valuable digital resources, so we are not building just another repository or PDF chatbot. Our system models every factual outreach claim as a traceable object linked to exact, versioned scientific evidence. If a report is corrected later, we detect the changed evidence, trace which website or social-media claims depend on it, and create targeted human re-verification tasks. This turns polar outreach into a living, auditable knowledge lifecycle rather than one-time AI-generated content.”</w:t>
            </w:r>
          </w:p>
        </w:tc>
      </w:tr>
    </w:tbl>
    <w:p>
      <w:pPr>
        <w:pStyle w:val="Heading1"/>
      </w:pPr>
      <w:r>
        <w:t>12. Judge Questions and Defensible Answers</w:t>
      </w:r>
    </w:p>
    <w:p>
      <w:r>
        <w:rPr>
          <w:b/>
          <w:color w:val="2F5597"/>
        </w:rPr>
        <w:t>Is this just RAG?</w:t>
      </w:r>
    </w:p>
    <w:p>
      <w:pPr>
        <w:ind w:left="259"/>
      </w:pPr>
      <w:r>
        <w:t>No. RAG is used for retrieval/generation. The differentiator is the persistent claim-evidence domain graph and source-change impact workflow after content has already been approved or published.</w:t>
      </w:r>
    </w:p>
    <w:p>
      <w:r>
        <w:rPr>
          <w:b/>
          <w:color w:val="2F5597"/>
        </w:rPr>
        <w:t>Why is versioning not enough?</w:t>
      </w:r>
    </w:p>
    <w:p>
      <w:pPr>
        <w:ind w:left="259"/>
      </w:pPr>
      <w:r>
        <w:t>Versioning can tell us that a document changed. It does not by itself tell us which evidence changed, which claims relied on that evidence, or which public artifacts need review.</w:t>
      </w:r>
    </w:p>
    <w:p>
      <w:r>
        <w:rPr>
          <w:b/>
          <w:color w:val="2F5597"/>
        </w:rPr>
        <w:t>Will AI automatically modify public scientific content?</w:t>
      </w:r>
    </w:p>
    <w:p>
      <w:pPr>
        <w:ind w:left="259"/>
      </w:pPr>
      <w:r>
        <w:t>No. A source change creates a review state. Human reviewers compare the old and new evidence before confirming or revising the publication.</w:t>
      </w:r>
    </w:p>
    <w:p>
      <w:r>
        <w:rPr>
          <w:b/>
          <w:color w:val="2F5597"/>
        </w:rPr>
        <w:t>What if the new source only rephrases text?</w:t>
      </w:r>
    </w:p>
    <w:p>
      <w:pPr>
        <w:ind w:left="259"/>
      </w:pPr>
      <w:r>
        <w:t>Evidence alignment/change classification allows the system to distinguish harmless movement/rephrasing from potentially material numeric, date, location, qualifier, removal or contradiction changes.</w:t>
      </w:r>
    </w:p>
    <w:p>
      <w:r>
        <w:rPr>
          <w:b/>
          <w:color w:val="2F5597"/>
        </w:rPr>
        <w:t>Can you build this in the hackathon?</w:t>
      </w:r>
    </w:p>
    <w:p>
      <w:pPr>
        <w:ind w:left="259"/>
      </w:pPr>
      <w:r>
        <w:t>Yes as an MVP: one PDF type, page-level evidence units, claim-evidence links, source V1/V2, deterministic text/number change detection, impact traversal and review queue. Fine-grained semantic drift can be incremental.</w:t>
      </w:r>
    </w:p>
    <w:p>
      <w:pPr>
        <w:pStyle w:val="Heading1"/>
      </w:pPr>
      <w:r>
        <w:t>13. Scope Guardrails</w:t>
      </w:r>
    </w:p>
    <w:p>
      <w:pPr>
        <w:pStyle w:val="ListBullet"/>
      </w:pPr>
      <w:r>
        <w:t>Do not market the solution as a “world-first” without a dedicated prior-art search.</w:t>
      </w:r>
    </w:p>
    <w:p>
      <w:pPr>
        <w:pStyle w:val="ListBullet"/>
      </w:pPr>
      <w:r>
        <w:t>Do not claim that citations, RAG, embeddings, hashing or document versioning are themselves novel.</w:t>
      </w:r>
    </w:p>
    <w:p>
      <w:pPr>
        <w:pStyle w:val="ListBullet"/>
      </w:pPr>
      <w:r>
        <w:t>Use “our proposed differentiator for SIH26063” or “system-level innovation” in the presentation.</w:t>
      </w:r>
    </w:p>
    <w:p>
      <w:pPr>
        <w:pStyle w:val="ListBullet"/>
      </w:pPr>
      <w:r>
        <w:t>Keep automated change detection advisory: material scientific correctness remains a human decision.</w:t>
      </w:r>
    </w:p>
    <w:p>
      <w:pPr>
        <w:pStyle w:val="ListBullet"/>
      </w:pPr>
      <w:r>
        <w:t>Use permitted/public test assets and preserve attribution/access controls.</w:t>
      </w:r>
    </w:p>
    <w:p>
      <w:pPr>
        <w:pStyle w:val="Heading1"/>
      </w:pPr>
      <w:r>
        <w:t>14. Final Novelty Definition</w:t>
      </w:r>
    </w:p>
    <w:p>
      <w:pPr>
        <w:jc w:val="center"/>
      </w:pPr>
      <w:r>
        <w:rPr>
          <w:b/>
          <w:color w:val="17365D"/>
          <w:sz w:val="28"/>
        </w:rPr>
        <w:t>LIVING EVIDENCE GRAPH + SCIENTIFIC EVIDENCE DRIFT + CLAIM-LEVEL IMPACT PROPAGATION + HUMAN RE-VERIFICATION</w:t>
      </w:r>
    </w:p>
    <w:p>
      <w:pPr>
        <w:pStyle w:val="Callout"/>
      </w:pPr>
      <w:r>
        <w:t>This should be the centre of the architecture, domain model, demo story and evaluation. Repository/search/generation are the product foundation; the evidence lifecycle is the differentiation.</w:t>
      </w:r>
    </w:p>
    <w:p>
      <w:pPr>
        <w:pStyle w:val="Heading1"/>
      </w:pPr>
      <w:r>
        <w:t>15. Reference Basis for the Novelty Positioning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65D"/>
          </w:tcPr>
          <w:p>
            <w:r>
              <w:rPr>
                <w:b/>
                <w:color w:val="FFFFFF"/>
              </w:rPr>
              <w:t>Source</w:t>
            </w:r>
          </w:p>
        </w:tc>
        <w:tc>
          <w:tcPr>
            <w:tcW w:type="dxa" w:w="3331"/>
            <w:shd w:fill="17365D"/>
          </w:tcPr>
          <w:p>
            <w:r>
              <w:rPr>
                <w:b/>
                <w:color w:val="FFFFFF"/>
              </w:rPr>
              <w:t>URL</w:t>
            </w:r>
          </w:p>
        </w:tc>
        <w:tc>
          <w:tcPr>
            <w:tcW w:type="dxa" w:w="3331"/>
            <w:shd w:fill="17365D"/>
          </w:tcPr>
          <w:p>
            <w:r>
              <w:rPr>
                <w:b/>
                <w:color w:val="FFFFFF"/>
              </w:rPr>
              <w:t>Why cited</w:t>
            </w:r>
          </w:p>
        </w:tc>
      </w:tr>
      <w:tr>
        <w:tc>
          <w:tcPr>
            <w:tcW w:type="dxa" w:w="3331"/>
            <w:tcMar>
              <w:top w:w="100" w:type="dxa"/>
              <w:start w:w="120" w:type="dxa"/>
              <w:bottom w:w="100" w:type="dxa"/>
              <w:end w:w="120" w:type="dxa"/>
            </w:tcMar>
          </w:tcPr>
          <w:p>
            <w:r>
              <w:rPr>
                <w:sz w:val="16"/>
              </w:rPr>
              <w:t>SIH26063 problem brief</w:t>
            </w:r>
          </w:p>
        </w:tc>
        <w:tc>
          <w:tcPr>
            <w:tcW w:type="dxa" w:w="3331"/>
            <w:tcMar>
              <w:top w:w="100" w:type="dxa"/>
              <w:start w:w="120" w:type="dxa"/>
              <w:bottom w:w="100" w:type="dxa"/>
              <w:end w:w="120" w:type="dxa"/>
            </w:tcMar>
          </w:tcPr>
          <w:p>
            <w:r>
              <w:rPr>
                <w:sz w:val="16"/>
              </w:rPr>
              <w:t>SIH 2026 PS mirror: https://sih2026.vuce.in/ps/SIH26063</w:t>
            </w:r>
          </w:p>
        </w:tc>
        <w:tc>
          <w:tcPr>
            <w:tcW w:type="dxa" w:w="3331"/>
            <w:tcMar>
              <w:top w:w="100" w:type="dxa"/>
              <w:start w:w="120" w:type="dxa"/>
              <w:bottom w:w="100" w:type="dxa"/>
              <w:end w:w="120" w:type="dxa"/>
            </w:tcMar>
          </w:tcPr>
          <w:p>
            <w:r>
              <w:rPr>
                <w:sz w:val="16"/>
              </w:rPr>
              <w:t>Confirms official scope: comprehensive outreach portal, archive of reports/datasets/publications/media, website/social content generation.</w:t>
            </w:r>
          </w:p>
        </w:tc>
      </w:tr>
      <w:tr>
        <w:tc>
          <w:tcPr>
            <w:tcW w:type="dxa" w:w="3331"/>
            <w:tcMar>
              <w:top w:w="100" w:type="dxa"/>
              <w:start w:w="120" w:type="dxa"/>
              <w:bottom w:w="100" w:type="dxa"/>
              <w:end w:w="120" w:type="dxa"/>
            </w:tcMar>
          </w:tcPr>
          <w:p>
            <w:r>
              <w:rPr>
                <w:sz w:val="16"/>
              </w:rPr>
              <w:t>NCPOR Library</w:t>
            </w:r>
          </w:p>
        </w:tc>
        <w:tc>
          <w:tcPr>
            <w:tcW w:type="dxa" w:w="3331"/>
            <w:tcMar>
              <w:top w:w="100" w:type="dxa"/>
              <w:start w:w="120" w:type="dxa"/>
              <w:bottom w:w="100" w:type="dxa"/>
              <w:end w:w="120" w:type="dxa"/>
            </w:tcMar>
          </w:tcPr>
          <w:p>
            <w:r>
              <w:rPr>
                <w:sz w:val="16"/>
              </w:rPr>
              <w:t>https://ncpor.res.in/libraries</w:t>
            </w:r>
          </w:p>
        </w:tc>
        <w:tc>
          <w:tcPr>
            <w:tcW w:type="dxa" w:w="3331"/>
            <w:tcMar>
              <w:top w:w="100" w:type="dxa"/>
              <w:start w:w="120" w:type="dxa"/>
              <w:bottom w:w="100" w:type="dxa"/>
              <w:end w:w="120" w:type="dxa"/>
            </w:tcMar>
          </w:tcPr>
          <w:p>
            <w:r>
              <w:rPr>
                <w:sz w:val="16"/>
              </w:rPr>
              <w:t>Confirms NCPOR already maintains substantial online digital resources including Antarctic expedition reports and publications, supporting the need to differentiate beyond “another repository.”</w:t>
            </w:r>
          </w:p>
        </w:tc>
      </w:tr>
      <w:tr>
        <w:tc>
          <w:tcPr>
            <w:tcW w:type="dxa" w:w="3331"/>
            <w:tcMar>
              <w:top w:w="100" w:type="dxa"/>
              <w:start w:w="120" w:type="dxa"/>
              <w:bottom w:w="100" w:type="dxa"/>
              <w:end w:w="120" w:type="dxa"/>
            </w:tcMar>
          </w:tcPr>
          <w:p>
            <w:r>
              <w:rPr>
                <w:sz w:val="16"/>
              </w:rPr>
              <w:t>OWASP RAG Security Cheat Sheet</w:t>
            </w:r>
          </w:p>
        </w:tc>
        <w:tc>
          <w:tcPr>
            <w:tcW w:type="dxa" w:w="3331"/>
            <w:tcMar>
              <w:top w:w="100" w:type="dxa"/>
              <w:start w:w="120" w:type="dxa"/>
              <w:bottom w:w="100" w:type="dxa"/>
              <w:end w:w="120" w:type="dxa"/>
            </w:tcMar>
          </w:tcPr>
          <w:p>
            <w:r>
              <w:rPr>
                <w:sz w:val="16"/>
              </w:rPr>
              <w:t>https://cheatsheetseries.owasp.org/cheatsheets/RAG_Security_Cheat_Sheet.html</w:t>
            </w:r>
          </w:p>
        </w:tc>
        <w:tc>
          <w:tcPr>
            <w:tcW w:type="dxa" w:w="3331"/>
            <w:tcMar>
              <w:top w:w="100" w:type="dxa"/>
              <w:start w:w="120" w:type="dxa"/>
              <w:bottom w:w="100" w:type="dxa"/>
              <w:end w:w="120" w:type="dxa"/>
            </w:tcMar>
          </w:tcPr>
          <w:p>
            <w:r>
              <w:rPr>
                <w:sz w:val="16"/>
              </w:rPr>
              <w:t>Treats source attribution, provenance metadata and document hashes as RAG security/reliability practices; useful evidence that those ingredients alone should not be claimed as novelty.</w:t>
            </w:r>
          </w:p>
        </w:tc>
      </w:tr>
      <w:tr>
        <w:tc>
          <w:tcPr>
            <w:tcW w:type="dxa" w:w="3331"/>
            <w:tcMar>
              <w:top w:w="100" w:type="dxa"/>
              <w:start w:w="120" w:type="dxa"/>
              <w:bottom w:w="100" w:type="dxa"/>
              <w:end w:w="120" w:type="dxa"/>
            </w:tcMar>
          </w:tcPr>
          <w:p>
            <w:r>
              <w:rPr>
                <w:sz w:val="16"/>
              </w:rPr>
              <w:t>Source-Aware Reranking for RAG (2026)</w:t>
            </w:r>
          </w:p>
        </w:tc>
        <w:tc>
          <w:tcPr>
            <w:tcW w:type="dxa" w:w="3331"/>
            <w:tcMar>
              <w:top w:w="100" w:type="dxa"/>
              <w:start w:w="120" w:type="dxa"/>
              <w:bottom w:w="100" w:type="dxa"/>
              <w:end w:w="120" w:type="dxa"/>
            </w:tcMar>
          </w:tcPr>
          <w:p>
            <w:r>
              <w:rPr>
                <w:sz w:val="16"/>
              </w:rPr>
              <w:t>https://arxiv.org/abs/2607.22584</w:t>
            </w:r>
          </w:p>
        </w:tc>
        <w:tc>
          <w:tcPr>
            <w:tcW w:type="dxa" w:w="3331"/>
            <w:tcMar>
              <w:top w:w="100" w:type="dxa"/>
              <w:start w:w="120" w:type="dxa"/>
              <w:bottom w:w="100" w:type="dxa"/>
              <w:end w:w="120" w:type="dxa"/>
            </w:tcMar>
          </w:tcPr>
          <w:p>
            <w:r>
              <w:rPr>
                <w:sz w:val="16"/>
              </w:rPr>
              <w:t>Example of current work incorporating source reliability/provenance into RAG retrieval, reinforcing that source-aware retrieval itself is not sufficient novelty.</w:t>
            </w:r>
          </w:p>
        </w:tc>
      </w:tr>
      <w:tr>
        <w:tc>
          <w:tcPr>
            <w:tcW w:type="dxa" w:w="3331"/>
            <w:tcMar>
              <w:top w:w="100" w:type="dxa"/>
              <w:start w:w="120" w:type="dxa"/>
              <w:bottom w:w="100" w:type="dxa"/>
              <w:end w:w="120" w:type="dxa"/>
            </w:tcMar>
          </w:tcPr>
          <w:p>
            <w:r>
              <w:rPr>
                <w:sz w:val="16"/>
              </w:rPr>
              <w:t>Data Provenance for RAG Systems (2026)</w:t>
            </w:r>
          </w:p>
        </w:tc>
        <w:tc>
          <w:tcPr>
            <w:tcW w:type="dxa" w:w="3331"/>
            <w:tcMar>
              <w:top w:w="100" w:type="dxa"/>
              <w:start w:w="120" w:type="dxa"/>
              <w:bottom w:w="100" w:type="dxa"/>
              <w:end w:w="120" w:type="dxa"/>
            </w:tcMar>
          </w:tcPr>
          <w:p>
            <w:r>
              <w:rPr>
                <w:sz w:val="16"/>
              </w:rPr>
              <w:t>https://pklavc.com/blog/data-provenance-rag-systems/</w:t>
            </w:r>
          </w:p>
        </w:tc>
        <w:tc>
          <w:tcPr>
            <w:tcW w:type="dxa" w:w="3331"/>
            <w:tcMar>
              <w:top w:w="100" w:type="dxa"/>
              <w:start w:w="120" w:type="dxa"/>
              <w:bottom w:w="100" w:type="dxa"/>
              <w:end w:w="120" w:type="dxa"/>
            </w:tcMar>
          </w:tcPr>
          <w:p>
            <w:r>
              <w:rPr>
                <w:sz w:val="16"/>
              </w:rPr>
              <w:t>Discusses exact source versions, hashes, chunks and claim provenance as production RAG lineage practices.</w:t>
            </w:r>
          </w:p>
        </w:tc>
      </w:tr>
    </w:tbl>
    <w:p>
      <w:pPr>
        <w:pStyle w:val="Small"/>
      </w:pPr>
      <w:r>
        <w:t>Note: This document is a hackathon differentiation/engineering note, not a patentability or legal novelty opinion. A patent claim requires a dedicated prior-art search and professional IP review.</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Smart India Hackathon 2026  •  Working submission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SIH26063  |  Novelty &amp; Differentiation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Aptos" w:hAnsi="Aptos"/>
      <w:b/>
      <w:color w:val="17365D"/>
      <w:sz w:val="22"/>
    </w:rPr>
  </w:style>
  <w:style w:type="paragraph" w:customStyle="1" w:styleId="Small">
    <w:name w:val="Small"/>
    <w:pPr>
      <w:spacing w:after="6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