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Cities Grew for Boring Reasons</w:t>
      </w:r>
    </w:p>
    <w:p>
      <w:pPr>
        <w:jc w:val="center"/>
      </w:pPr>
      <w:r>
        <w:rPr>
          <w:i/>
          <w:sz w:val="24"/>
        </w:rPr>
        <w:t>The Determinants of City Size in the Holy Roman Empire and Central Europe, 1200–1500</w:t>
      </w:r>
    </w:p>
    <w:p>
      <w:pPr>
        <w:jc w:val="center"/>
      </w:pPr>
      <w:r>
        <w:rPr>
          <w:sz w:val="22"/>
        </w:rPr>
        <w:t>Nikunj Tyagi</w:t>
        <w:br/>
        <w:t>August 2026</w:t>
      </w:r>
    </w:p>
    <w:p>
      <w:pPr>
        <w:pStyle w:val="Heading1"/>
      </w:pPr>
      <w:r>
        <w:rPr>
          <w:color w:val="1A1A1A"/>
          <w:sz w:val="30"/>
        </w:rPr>
        <w:t>Abstract</w:t>
      </w:r>
    </w:p>
    <w:p>
      <w:r>
        <w:t>Why did some medieval cities turn into metropolises while their neighbors stayed villages? The standard answer credits commercial privileges and institutions: staple rights, chartered liberties, fairs, market rights. Using two standard reconstructions of European city populations (2,262 cities, 700–2000) joined to dated privilege records — with each privilege analysed strictly inside the geographic universe its source actually documents — I test that answer and find no support for it. Inside the Viabundus network area, towns holding staple rights were 40% larger than towns without them; Europe-wide, communes were 21% larger than non-communes. But towns that received a privilege had been rising relative to their peers for centuries before the grant, and their growth does not accelerate after it: difference-in-differences estimates around the grant are approximately zero for six institutional treatments from four sources (staple −7% [−22, +10]; fair −0% [−13, +14]; charter +0% [−20, +28]; market −3% [−26, +32]; and — extending the test beyond Germany to the Italian and French commune belt — communal self-government −1% [−9, +7] and participative institutions −1% [−8, +8]). For the well-powered treatments, effects larger than +7–14% are excluded; for charters and market rights the intervals remain wide, so those nulls are imprecise. What the data consistently reject is the traditional reading in which the grant launches the growth: the ascent begins before the privilege arrives.</w:t>
      </w:r>
    </w:p>
    <w:p>
      <w:r>
        <w:t>What did determine the urban hierarchy of 1500? A Shapley decomposition of predictive R² — descriptive accounting, not causal attribution — traces 48% of the total variance in 1500 size to a city's own size in 1200 and 19% to its size in 800 AD, against 2.6% for measured geography conditional on those sizes. The conditional qualifier matters: geography's small direct share does not mean geography barely built the hierarchy — water and Roman-era location did their work early, and the sizes of 800 and 1200 embed it. On the subsample where all four privilege statuses are observable, privileges add about four points of R² to a geography-plus-size model. The remaining ~31% is unexplained and only weakly persistent: it barely shrinks when institutions are added, and a city's growth residual in one century correlates at −0.10 to −0.16 with the next — consistent with transient shocks plus rounding-induced measurement bounce, though not proof of pure randomness. The one lever geography still pulled after 1200 was navigable water, worth about 5–6% extra growth per century (+15% by 1500, CI [+7%, +23%]), and central to the reshuffle after the Black Death.</w:t>
      </w:r>
    </w:p>
    <w:p>
      <w:r>
        <w:t>These facts compress into a three-parameter law of motion. Handed only the populations of 1200 and a water-access dummy, the law predicts the city sizes of 1500 with R² = 0.56 out of sample, places 81% of cities within a factor of two, and identifies eight of the ten largest cities of 1500. Crucially, this survives a strict no-leakage test: coefficients estimated solely on the 800→1200 transitions — locked before the forecast window opens — still deliver R² = 0.50 (0.56 after a single overall level correction), the same rank correlation, and the same eight of the ten largest cities. Flexible machine-learning models given every feature knowable in 1200 reach only ≈0.60 under spatially blocked cross-validation, so the law sits near the information ceiling. Meanwhile the same law predicts essentially none of which individual cities would rise or fall (growth R² = 0.02). Both numbers are the point: the position of the urban hierarchy was highly predictable; movement within it was not.</w:t>
      </w:r>
    </w:p>
    <w:p>
      <w:pPr>
        <w:pStyle w:val="Heading1"/>
      </w:pPr>
      <w:r>
        <w:rPr>
          <w:color w:val="1A1A1A"/>
          <w:sz w:val="30"/>
        </w:rPr>
        <w:t>1. The Question, and the Order the Answers Came In</w:t>
      </w:r>
    </w:p>
    <w:p>
      <w:r>
        <w:t>Medieval history offers a ready explanation for why Hamburg, Nürnberg, or Danzig became great: they won privileges. A staple right forced passing merchants to unload and offer their goods for sale. A charter freed townsmen from feudal obligations. A fair concentrated the region's trade inside the walls twice a year. These grants were fought over, paid for, and celebrated, so it is natural to assume they mattered. The assumption is testable, and this paper tests it.</w:t>
      </w:r>
    </w:p>
    <w:p>
      <w:r>
        <w:t>The paper is organized in the order the research actually unfolded, because each result forced the next question:</w:t>
      </w:r>
    </w:p>
    <w:p>
      <w:pPr>
        <w:pStyle w:val="ListBullet"/>
      </w:pPr>
      <w:r>
        <w:rPr>
          <w:b/>
        </w:rPr>
        <w:t xml:space="preserve">Step 1 (§3). </w:t>
      </w:r>
      <w:r>
        <w:t>Is growth predictable from size? If big cities systematically out-grew small ones (or vice versa), that mechanism would come first. It turns out neither is true — growth is almost unrelated to starting size — which means the hierarchy persists by default and the interesting question becomes what set it up.</w:t>
      </w:r>
    </w:p>
    <w:p>
      <w:pPr>
        <w:pStyle w:val="ListBullet"/>
      </w:pPr>
      <w:r>
        <w:rPr>
          <w:b/>
        </w:rPr>
        <w:t xml:space="preserve">Step 2 (§4). </w:t>
      </w:r>
      <w:r>
        <w:t>Did privileges cause growth? The raw correlations say yes; a comparison that respects timing says no.</w:t>
      </w:r>
    </w:p>
    <w:p>
      <w:pPr>
        <w:pStyle w:val="ListBullet"/>
      </w:pPr>
      <w:r>
        <w:rPr>
          <w:b/>
        </w:rPr>
        <w:t xml:space="preserve">Step 3 (§5). </w:t>
      </w:r>
      <w:r>
        <w:t>Build an explicit benchmark for what each city ‘should’ have weighed in 1500 given its 1200 size, so that over- and under-performance can be measured city by city rather than asserted.</w:t>
      </w:r>
    </w:p>
    <w:p>
      <w:pPr>
        <w:pStyle w:val="ListBullet"/>
      </w:pPr>
      <w:r>
        <w:rPr>
          <w:b/>
        </w:rPr>
        <w:t xml:space="preserve">Step 4 (§6). </w:t>
      </w:r>
      <w:r>
        <w:t>Decompose the 1500 hierarchy into candidate sources — inherited size, deep origins, geography, and (back in for a fair hearing) institutions — and measure what is left over.</w:t>
      </w:r>
    </w:p>
    <w:p>
      <w:pPr>
        <w:pStyle w:val="ListBullet"/>
      </w:pPr>
      <w:r>
        <w:rPr>
          <w:b/>
        </w:rPr>
        <w:t xml:space="preserve">Step 5 (§7). </w:t>
      </w:r>
      <w:r>
        <w:t>Identify the one geographic factor that still moved cities: navigable water.</w:t>
      </w:r>
    </w:p>
    <w:p>
      <w:pPr>
        <w:pStyle w:val="ListBullet"/>
      </w:pPr>
      <w:r>
        <w:rPr>
          <w:b/>
        </w:rPr>
        <w:t xml:space="preserve">Step 6 (§8). </w:t>
      </w:r>
      <w:r>
        <w:t>Compress everything into a single equation, and — the acid test — ask how well that equation actually predicts the map of 1500 from the map of 1200.</w:t>
      </w:r>
    </w:p>
    <w:p>
      <w:r>
        <w:t>Section 9 repeats the core results on the alternative population reconstruction and stress-tests the data's imputation and rounding; §10 states explicitly what is new here; §11 concludes.</w:t>
      </w:r>
    </w:p>
    <w:p>
      <w:pPr>
        <w:pStyle w:val="Heading1"/>
      </w:pPr>
      <w:r>
        <w:rPr>
          <w:color w:val="1A1A1A"/>
          <w:sz w:val="30"/>
        </w:rPr>
        <w:t>2. Data</w:t>
      </w:r>
    </w:p>
    <w:p>
      <w:r>
        <w:t>Medieval city populations are not measured; they are reconstructed from fragments — tax rolls, hearth counts, militia lists, church registers — converted into inhabitants with demographic multipliers. Because this is an estimation exercise, I run everything on the two most widely used reconstructions. They are built by different scholars but from overlapping source bases — Buringh explicitly revises and extends Bairoch, and about 7% of the medieval observations used here cite Bairoch as their direct source — so they are best read as partially overlapping reconstructions, not fully independent measurements:</w:t>
      </w:r>
    </w:p>
    <w:p>
      <w:pPr>
        <w:pStyle w:val="ListBullet"/>
      </w:pPr>
      <w:r>
        <w:t>Bairoch, Batou &amp; Chèvre (1988), La population des villes européennes de 800 à 1850: the foundational compilation — roughly 2,200 cities at hundred-year intervals.</w:t>
      </w:r>
    </w:p>
    <w:p>
      <w:pPr>
        <w:pStyle w:val="ListBullet"/>
      </w:pPr>
      <w:r>
        <w:t>Buringh (2021), The Population of European Cities from 700 to 2000: a later, georeferenced reconstruction of 2,262 cities that revises Bairoch with newer scholarship and attaches coordinates, elevation, and a transport classification (river, coastal, landlocked).</w:t>
      </w:r>
    </w:p>
    <w:p>
      <w:r>
        <w:t>Where both sources cover a city in 1500, their log populations correlate at r = 0.96 — close agreement, but not identical, which is what makes the robustness check in §9 meaningful. Buringh is the primary panel throughout (it carries the geography); Bairoch is the check. The sample is the Holy Roman Empire and its neighbours — Germany, Italy, France, the Low Countries, Poland, Hungary, Switzerland, Austria — restricted to cities of at least 1,000 inhabitants: 1,259 cities in all.</w:t>
      </w:r>
    </w:p>
    <w:p>
      <w:r>
        <w:t>Two data caveats matter throughout. First, both reconstructions round populations to convenient steps (1,000, 2,000, 4,000…). Rounding injects spurious jumps into measured growth — a city drifting from 1,400 to 1,600 people appears to leap from 1,000 to 2,000. Part of what no model can explain in §6 is this measurement noise, and I will show a diagnostic that says so. Second, Buringh flags the nature of every city-year value, and in the 1200–1500 analysis sample 81% of observations are imputed or proxied (95% in 1200): city- and time-specific estimates, not direct documentary counts. Too few purely documentary observations survive in this era (≈40 cities) to re-run the analysis on them alone; the checks that are feasible — swapping in Bairoch's numbers (§9) and raising the population threshold to 5,000 and 10,000 (§9.2) — leave every core result qualitatively unchanged.</w:t>
      </w:r>
    </w:p>
    <w:p>
      <w:r>
        <w:t>Privileges and institutions come from two further sources:</w:t>
      </w:r>
    </w:p>
    <w:p>
      <w:pPr>
        <w:pStyle w:val="ListBullet"/>
      </w:pPr>
      <w:r>
        <w:t>Viabundus (Holterman et al.), a georeferenced reconstruction of the late-medieval road, river and sea network of Northern Europe, with dated staple rights, fairs, and tolls (156 staples, 773 fairs).</w:t>
      </w:r>
    </w:p>
    <w:p>
      <w:pPr>
        <w:pStyle w:val="ListBullet"/>
      </w:pPr>
      <w:r>
        <w:t>Cantoni, Mohr &amp; Weigand (2020), dated town charters (Stadtrecht) and market rights (Marktrecht) for the 2,390 towns of the Deutsches Städtebuch, with legal families (Magdeburg law, Lübeck law, …).</w:t>
      </w:r>
    </w:p>
    <w:p>
      <w:r>
        <w:t>Three further sources extend the institutional record beyond the German privilege datasets — each again used strictly inside its own universe:</w:t>
      </w:r>
    </w:p>
    <w:p>
      <w:pPr>
        <w:pStyle w:val="ListBullet"/>
      </w:pPr>
      <w:r>
        <w:t>Bosker, Buringh &amp; van Zanden (2013), a 792-city European/Mediterranean panel whose commune variable records communal self-government by century, 800–1800. This is the Europe-wide analogue of a town charter, and it covers exactly the region the German sources cannot: Italy, France, Austria, Switzerland, Hungary, the Low Countries.</w:t>
      </w:r>
    </w:p>
    <w:p>
      <w:pPr>
        <w:pStyle w:val="ListBullet"/>
      </w:pPr>
      <w:r>
        <w:t>Wahl (2015), participative political institutions (council elections, guild participation, burgher representation) for 325 central-European cities including Austria and Switzerland, by century 800–1800.</w:t>
      </w:r>
    </w:p>
    <w:p>
      <w:pPr>
        <w:pStyle w:val="ListBullet"/>
      </w:pPr>
      <w:r>
        <w:t>Krauer &amp; Schmid (2022), a geocoded digitization of Biraben's plague-outbreak inventory: 11,180 dated outbreak records 1346–1900, of which 338 place-level records fall in the first Black Death wave (1347–1352). Used in §7 to test the plague mechanism directly.</w:t>
      </w:r>
    </w:p>
    <w:p>
      <w:r>
        <w:t>The Bosker and Wahl institutions are century-resolution status panels rather than dated grants: if an institution is first observed at a census year, adoption occurred sometime in the preceding century, and it is dated to that century's midpoint — equivalent to a mid-century grant with ~50 years of exposure before the first treated census, well within the exposure range of the exactly-dated privileges.</w:t>
      </w:r>
    </w:p>
    <w:p>
      <w:r>
        <w:rPr>
          <w:b/>
        </w:rPr>
        <w:t xml:space="preserve">Coverage discipline. </w:t>
      </w:r>
      <w:r>
        <w:t>A blank in a privilege source can mean two very different things: 'this town did not have the privilege' or 'this town is outside the area the source documents.' Conflating the two manufactures false zeros. Viabundus maps the road, river and sea network of northern and central Europe — its nodes stop near latitude 49°N, so Italy, Austria, Switzerland, Hungary and most of France lie beyond the map's edge; the Deutsches Städtebuch covers Germany in its 1937 borders, so Vienna, for example, simply is not in it. Every privilege analysis in this paper is therefore restricted to the universe in which absence is actually observable: staple and fair tests to cities within 25 km of a Viabundus network node (432 of the 1,259 sample cities — the median covered city sits about 1 km from a node, the median excluded city hundreds of km away, so the cutoff is not sensitive), and charter and market tests to cities matched to a Städtebuch town (name match within 60 km, or coordinates within 5 km); likewise, commune and participative-institution tests are restricted to cities matched to a Bosker or Wahl city (within 8 km), and plague exposure to cities near a geocoded outbreak record. A city outside a source's universe is treated as missing data for that variable — never as an untreated zero.</w:t>
      </w:r>
    </w:p>
    <w:p>
      <w:pPr>
        <w:pStyle w:val="Heading1"/>
      </w:pPr>
      <w:r>
        <w:rPr>
          <w:color w:val="1A1A1A"/>
          <w:sz w:val="30"/>
        </w:rPr>
        <w:t>3. Step 1: Growth Was Not Predictable from Size</w:t>
      </w:r>
    </w:p>
    <w:p>
      <w:r>
        <w:t>A city's size in 1500 is the compound of everything that happened to it before. If some cities ended up vastly larger than others, then either they grew faster during 1200–1500, or they started ahead and coasted. So the first thing to establish is the basic character of growth itself.</w:t>
      </w:r>
    </w:p>
    <w:p>
      <w:r>
        <w:t>Figure 1 plots each city's growth over 1200–1500 against its size in 1200. If size bred growth (big cities compounding their advantage), the cloud would slope up. If small towns systematically caught up, it would slope down.</w:t>
      </w:r>
    </w:p>
    <w:p>
      <w:pPr>
        <w:jc w:val="center"/>
      </w:pPr>
      <w:r>
        <w:drawing>
          <wp:inline xmlns:a="http://schemas.openxmlformats.org/drawingml/2006/main" xmlns:pic="http://schemas.openxmlformats.org/drawingml/2006/picture">
            <wp:extent cx="5577840" cy="3506071"/>
            <wp:docPr id="1" name="Picture 1"/>
            <wp:cNvGraphicFramePr>
              <a:graphicFrameLocks noChangeAspect="1"/>
            </wp:cNvGraphicFramePr>
            <a:graphic>
              <a:graphicData uri="http://schemas.openxmlformats.org/drawingml/2006/picture">
                <pic:pic>
                  <pic:nvPicPr>
                    <pic:cNvPr id="0" name="fig_gibrat.png"/>
                    <pic:cNvPicPr/>
                  </pic:nvPicPr>
                  <pic:blipFill>
                    <a:blip r:embed="rId9"/>
                    <a:stretch>
                      <a:fillRect/>
                    </a:stretch>
                  </pic:blipFill>
                  <pic:spPr>
                    <a:xfrm>
                      <a:off x="0" y="0"/>
                      <a:ext cx="5577840" cy="3506071"/>
                    </a:xfrm>
                    <a:prstGeom prst="rect"/>
                  </pic:spPr>
                </pic:pic>
              </a:graphicData>
            </a:graphic>
          </wp:inline>
        </w:drawing>
      </w:r>
    </w:p>
    <w:p>
      <w:pPr>
        <w:jc w:val="center"/>
      </w:pPr>
      <w:r>
        <w:rPr>
          <w:i/>
          <w:sz w:val="18"/>
        </w:rPr>
        <w:t>Figure 1. City growth 1200→1500 against starting size. Starting size explains ~2% of growth.</w:t>
      </w:r>
    </w:p>
    <w:p>
      <w:r>
        <w:t>The cloud is nearly flat: starting size explains about 2% of subsequent growth. This is Gibrat's law — growth roughly independent of size — and it has a consequence that shapes everything after. If growth does not depend on size, then a city 10× larger than its neighbor in 1200 tends to stay roughly 10× larger, because both draw growth from the same distribution. Rankings persist by default, without any mechanism favoring the big.</w:t>
      </w:r>
    </w:p>
    <w:p>
      <w:r>
        <w:t>Individual cities still followed wildly different paths — the vertical spread in Figure 1 is huge. But those differences were not systematically related to where a city started. That re-aimed the whole project: instead of hunting for a recipe that made cities grow, I needed to ask (a) what created the initial differences that later growth carried forward, and (b) whether policies and privileges let particular cities beat the average fate their size implied. Those are Steps 4 and 2 respectively.</w:t>
      </w:r>
    </w:p>
    <w:p>
      <w:pPr>
        <w:pStyle w:val="Heading1"/>
      </w:pPr>
      <w:r>
        <w:rPr>
          <w:color w:val="1A1A1A"/>
          <w:sz w:val="30"/>
        </w:rPr>
        <w:t>4. Step 2: Privileges Fail the Causal Test</w:t>
      </w:r>
    </w:p>
    <w:p>
      <w:r>
        <w:t>Start with the most prized privilege, the staple right (Stapelrecht), which forced merchants passing through to unload and offer their cargo for sale. Inside the Viabundus universe, towns holding a staple right were on average 40% larger than towns without one (two-way fixed effects); towns with fairs were 26% larger. (Ignoring coverage inflates these gaps to 53% and 41%, because every uncovered southern city gets miscounted as unprivileged — one measure of how much the false-zero problem distorts.) Historians have long read gaps like these as evidence that privileges built cities.</w:t>
      </w:r>
    </w:p>
    <w:p>
      <w:r>
        <w:t>The problem is timing. Staple rights were granted to towns that had already become important junctions; fairs were awarded to towns that already drew traders. A cross-sectional gap cannot distinguish ‘the privilege made the town big’ from ‘the town was big, so it got the privilege.’ Separating those requires following towns through time around the moment of the grant. Concretely, for every town that received a privilege in some year, I:</w:t>
      </w:r>
    </w:p>
    <w:p>
      <w:pPr>
        <w:pStyle w:val="ListBullet"/>
      </w:pPr>
      <w:r>
        <w:t>recorded its population in the centuries before and after the grant year;</w:t>
      </w:r>
    </w:p>
    <w:p>
      <w:pPr>
        <w:pStyle w:val="ListBullet"/>
      </w:pPr>
      <w:r>
        <w:t>matched it to comparison towns of similar size, in the same sample, with the same water access, that did not receive the privilege in that window;</w:t>
      </w:r>
    </w:p>
    <w:p>
      <w:pPr>
        <w:pStyle w:val="ListBullet"/>
      </w:pPr>
      <w:r>
        <w:t>computed the difference-in-differences: (growth of the granted town after − before) minus (growth of its comparison towns after − before). If the privilege caused growth, this quantity is positive.</w:t>
      </w:r>
    </w:p>
    <w:p>
      <w:r>
        <w:t>Three things make the design credible — and honest about its limits. First, coverage: each privilege is tested only inside its source's documented universe (§2), with treatment counts stated: 88 towns with dated staples, 143 with dated fairs, 270 with dated charters, 208 with dated market grants (fewer enter each regression once three consecutive centuries of population data are required). Second, a stacked event study around the grant centuries — not-yet-treated and never-treated towns as controls, cohort-stacked fixed effects, city-clustered errors — shows the full trajectory rather than a single difference (Figure 3). Third, the same machinery applied to four privileges from two independently assembled sources tells one consistent story. Figure 2 shows the headline comparison.</w:t>
      </w:r>
    </w:p>
    <w:p>
      <w:pPr>
        <w:jc w:val="center"/>
      </w:pPr>
      <w:r>
        <w:drawing>
          <wp:inline xmlns:a="http://schemas.openxmlformats.org/drawingml/2006/main" xmlns:pic="http://schemas.openxmlformats.org/drawingml/2006/picture">
            <wp:extent cx="5577840" cy="2544278"/>
            <wp:docPr id="2" name="Picture 2"/>
            <wp:cNvGraphicFramePr>
              <a:graphicFrameLocks noChangeAspect="1"/>
            </wp:cNvGraphicFramePr>
            <a:graphic>
              <a:graphicData uri="http://schemas.openxmlformats.org/drawingml/2006/picture">
                <pic:pic>
                  <pic:nvPicPr>
                    <pic:cNvPr id="0" name="fig_causal_consolidated.png"/>
                    <pic:cNvPicPr/>
                  </pic:nvPicPr>
                  <pic:blipFill>
                    <a:blip r:embed="rId10"/>
                    <a:stretch>
                      <a:fillRect/>
                    </a:stretch>
                  </pic:blipFill>
                  <pic:spPr>
                    <a:xfrm>
                      <a:off x="0" y="0"/>
                      <a:ext cx="5577840" cy="2544278"/>
                    </a:xfrm>
                    <a:prstGeom prst="rect"/>
                  </pic:spPr>
                </pic:pic>
              </a:graphicData>
            </a:graphic>
          </wp:inline>
        </w:drawing>
      </w:r>
    </w:p>
    <w:p>
      <w:pPr>
        <w:jc w:val="center"/>
      </w:pPr>
      <w:r>
        <w:rPr>
          <w:i/>
          <w:sz w:val="18"/>
        </w:rPr>
        <w:t>Figure 2. Raw size gaps (red) versus the matched difference-in-differences estimate (blue) for six institutional treatments from four sources, with 95% bootstrap confidence intervals and treatment counts. No estimate rejects zero; the staple, fair, commune, and participative-institution intervals are tight, the charter and market intervals are wide.</w:t>
      </w:r>
    </w:p>
    <w:p>
      <w:r>
        <w:t>The raw gaps do not survive the timing-aware comparison: staple −7% [−22, +10], fair −0% [−13, +14], town charter +0% [−20, +28], market right −3% [−26, +32]. These are null results of two different strengths, and the difference matters. For the two well-powered Viabundus privileges, the intervals exclude effects larger than +10% (staple) and +14% (fair) — small against raw gaps of +40% and +26%, and against the minimum detectable effects at 80% power (+28% and +21%). A confidence interval that crosses zero means 'cannot reject zero', not 'proved zero'; for staples and fairs, though, anything close to the association historians cite is affirmatively ruled out. For charters and market rights the intervals are wide ([−20, +28] and [−26, +32]) and the minimum detectable effects large (+41% and +51%): there the honest statement is that no effect is detected but a modest positive one cannot be excluded.</w:t>
      </w:r>
    </w:p>
    <w:p>
      <w:pPr>
        <w:jc w:val="center"/>
      </w:pPr>
      <w:r>
        <w:drawing>
          <wp:inline xmlns:a="http://schemas.openxmlformats.org/drawingml/2006/main" xmlns:pic="http://schemas.openxmlformats.org/drawingml/2006/picture">
            <wp:extent cx="5577840" cy="1501315"/>
            <wp:docPr id="3" name="Picture 3"/>
            <wp:cNvGraphicFramePr>
              <a:graphicFrameLocks noChangeAspect="1"/>
            </wp:cNvGraphicFramePr>
            <a:graphic>
              <a:graphicData uri="http://schemas.openxmlformats.org/drawingml/2006/picture">
                <pic:pic>
                  <pic:nvPicPr>
                    <pic:cNvPr id="0" name="fig_event_study.png"/>
                    <pic:cNvPicPr/>
                  </pic:nvPicPr>
                  <pic:blipFill>
                    <a:blip r:embed="rId11"/>
                    <a:stretch>
                      <a:fillRect/>
                    </a:stretch>
                  </pic:blipFill>
                  <pic:spPr>
                    <a:xfrm>
                      <a:off x="0" y="0"/>
                      <a:ext cx="5577840" cy="1501315"/>
                    </a:xfrm>
                    <a:prstGeom prst="rect"/>
                  </pic:spPr>
                </pic:pic>
              </a:graphicData>
            </a:graphic>
          </wp:inline>
        </w:drawing>
      </w:r>
    </w:p>
    <w:p>
      <w:pPr>
        <w:jc w:val="center"/>
      </w:pPr>
      <w:r>
        <w:rPr>
          <w:i/>
          <w:sz w:val="18"/>
        </w:rPr>
        <w:t>Figure 3. Stacked event studies around the grant century (event time −1 = last pre-grant census, reference), for all six institutional treatments. Towns that will receive a privilege are already rising relative to controls two centuries before the grant, and the ascent continues at the same slope after it — no break appears at the grant date, in Germany or beyond it.</w:t>
      </w:r>
    </w:p>
    <w:p>
      <w:r>
        <w:t>Figure 3 shows why the story is selection rather than treatment. Towns that would receive a staple right sat roughly 19 log points below their eventual relative level two centuries before the grant and climbed steadily through it; the climb after the grant continues the pre-grant slope, with no kink at the grant date. The privilege marks the middle of a long ascent, not the start of one. This also disciplines how the pre-trends should be described: they are not flat in levels — treated towns were rising, exactly as 'privileges were awarded to rising towns' predicts — but the growth rate does not change when the grant arrives, which is what the difference-in-differences nets out.</w:t>
      </w:r>
    </w:p>
    <w:p>
      <w:r>
        <w:t>Do these nulls generalize beyond Germany — or are they an artifact of testing only where the German sources reach? Two Europe-wide institutions answer this. Communal self-government (Bosker et al.), the closest continental analogue of a town charter, is observed for 391 matched cities including Italy, France, Austria, Switzerland and Hungary, with 243 dated adoptions. The pattern is identical and more precise than any German privilege: communes were 21% larger than non-communes in the naive comparison, but the matched difference-in-differences is −1% [−9, +7] — the tightest interval of the six treatments; self-government effects larger than +7% are excluded, against a minimum detectable effect of +12%. Participative institutions (Wahl: council elections, guild participation, burgher representation; 207 dated adoptions including Austrian and Swiss towns) give −1% [−8, +8]. The event studies (Figure 3, right panels) show the same signature as the German privileges: future communes were rising for two centuries before self-government arrives, and do not accelerate afterward. The Italian and French communes so celebrated in the historiography were, like the German charters, milestones on ascents already under way.</w:t>
      </w:r>
    </w:p>
    <w:p>
      <w:r>
        <w:t>A century-grid panel has a mechanical exposure problem: a staple granted in 1202 enjoys 98 years of exposure before the next census, one granted in 1297 only three. If privileges worked slowly, late-century grants would bias the estimates toward zero. They do not drive the result: restricting to grants in the first half of their century (at least 50 years of exposure) moves the estimates to staple −5%, fair +1%, charter −15%, market −6% — the same picture. (The commune and participative-institution treatments are midpoint-dated by construction, ~50 years of exposure each, squarely in this range.)</w:t>
      </w:r>
    </w:p>
    <w:p>
      <w:r>
        <w:rPr>
          <w:b/>
        </w:rPr>
        <w:t xml:space="preserve">Finding 1: privileges were badges of arrival, not engines. </w:t>
      </w:r>
      <w:r>
        <w:t>Growth in the century after a grant is statistically indistinguishable from growth in the century before it, across six institutional treatments, four sources, and both sides of the Alps. For the well-powered treatments — staples, fairs, communes, participative institutions — effects above +7–14% are excluded outright. This parallels Bosker, Buringh &amp; van Zanden (2013), whose ‘bishopric advantage’ evaporates once city fixed effects absorb the fact that bishops sat in already-important places.</w:t>
      </w:r>
    </w:p>
    <w:p>
      <w:r>
        <w:t>The Städtebuch record makes the logic vivid. Cologne, the empire's largest city (40,000 in 1200), was a Roman colonia with no formal charter bestowal in the Städtebuch record — it held city status long before formal charters became the instrument. Hamburg (2,000 in 1200) received charter and staple and grew fifteen-fold. Mainz held both a charter (1300) and a staple right and shrank from 9,000 to 6,000. Knowing a town's privileges tells you little about its fate; §5 makes that precise.</w:t>
      </w:r>
    </w:p>
    <w:p>
      <w:pPr>
        <w:pStyle w:val="Heading1"/>
      </w:pPr>
      <w:r>
        <w:rPr>
          <w:color w:val="1A1A1A"/>
          <w:sz w:val="30"/>
        </w:rPr>
        <w:t>5. Step 3: What a City ‘Should’ Have Weighed — the Implied-Size Benchmark</w:t>
      </w:r>
    </w:p>
    <w:p>
      <w:r>
        <w:t>Claims like ‘Hamburg over-performed’ or ‘Mainz under-performed’ are empty until ‘performance’ is defined against a benchmark. Here is the one used for the rest of the paper. Take the 1,092 cities observed in both 1200 and 1500 and fit the average relationship between the two dates by least squares:</w:t>
      </w:r>
    </w:p>
    <w:p>
      <w:pPr>
        <w:jc w:val="center"/>
      </w:pPr>
      <w:r>
        <w:rPr>
          <w:rFonts w:ascii="Cambria Math" w:hAnsi="Cambria Math"/>
          <w:b/>
          <w:sz w:val="24"/>
        </w:rPr>
        <w:t>log P₁₅₀₀ = 1.34 + 0.86 · log P₁₂₀₀ + 0.14 · water</w:t>
      </w:r>
    </w:p>
    <w:p>
      <w:r>
        <w:t>This line is what ‘the size its 1200 population implies’ means: it is the 1500 size of the average city that started at a given 1200 size (with a modest bonus if it sat on navigable water — the water term is developed in §7). A slope of 0.86, slightly below 1, says the hierarchy compressed a little: a city 10× larger than another in 1200 was typically about 7× larger in 1500. A city's performance is its residual — how far its actual 1500 population sits above or below the line, in log points. Figure 4 draws this.</w:t>
      </w:r>
    </w:p>
    <w:p>
      <w:pPr>
        <w:jc w:val="center"/>
      </w:pPr>
      <w:r>
        <w:drawing>
          <wp:inline xmlns:a="http://schemas.openxmlformats.org/drawingml/2006/main" xmlns:pic="http://schemas.openxmlformats.org/drawingml/2006/picture">
            <wp:extent cx="5577840" cy="4073369"/>
            <wp:docPr id="4" name="Picture 4"/>
            <wp:cNvGraphicFramePr>
              <a:graphicFrameLocks noChangeAspect="1"/>
            </wp:cNvGraphicFramePr>
            <a:graphic>
              <a:graphicData uri="http://schemas.openxmlformats.org/drawingml/2006/picture">
                <pic:pic>
                  <pic:nvPicPr>
                    <pic:cNvPr id="0" name="fig_implied_size.png"/>
                    <pic:cNvPicPr/>
                  </pic:nvPicPr>
                  <pic:blipFill>
                    <a:blip r:embed="rId12"/>
                    <a:stretch>
                      <a:fillRect/>
                    </a:stretch>
                  </pic:blipFill>
                  <pic:spPr>
                    <a:xfrm>
                      <a:off x="0" y="0"/>
                      <a:ext cx="5577840" cy="4073369"/>
                    </a:xfrm>
                    <a:prstGeom prst="rect"/>
                  </pic:spPr>
                </pic:pic>
              </a:graphicData>
            </a:graphic>
          </wp:inline>
        </w:drawing>
      </w:r>
    </w:p>
    <w:p>
      <w:pPr>
        <w:jc w:val="center"/>
      </w:pPr>
      <w:r>
        <w:rPr>
          <w:i/>
          <w:sz w:val="18"/>
        </w:rPr>
        <w:t>Figure 4. The implied-size benchmark. Each dot is a city; the blue line is the fitted average 1200→1500 relationship for cities on water (green dashed: landlocked). A city's performance is its vertical distance from the line (red segments; values in log points).</w:t>
      </w:r>
    </w:p>
    <w:p>
      <w:r>
        <w:t>Now individual cities can be read quantitatively. Hamburg's residual of +2.27 log points means it ended at e²·²⁷ ≈ 9.7 times its implied size; Amsterdam (+1.96) at 7×; Antwerp (+1.93) at 7×; Danzig (+1.48) at 4×. Mainz (−0.63) ended at barely half the size its 1200 population implied. Cologne (+0.10) and Vienna (+0.02) grew almost exactly as their starting sizes dictated — impressive in absolute terms, unremarkable relative to the benchmark.</w:t>
      </w:r>
    </w:p>
    <w:p>
      <w:r>
        <w:t>Ranking all cities by this residual (Figure 5) reveals the geography of over- and under-performance: the over-performers are almost entirely Atlantic and North Sea ports; the under-performers are Mediterranean and landlocked interior towns. That pattern is Step 5's subject.</w:t>
      </w:r>
    </w:p>
    <w:p>
      <w:pPr>
        <w:jc w:val="center"/>
      </w:pPr>
      <w:r>
        <w:drawing>
          <wp:inline xmlns:a="http://schemas.openxmlformats.org/drawingml/2006/main" xmlns:pic="http://schemas.openxmlformats.org/drawingml/2006/picture">
            <wp:extent cx="5577840" cy="4183380"/>
            <wp:docPr id="5" name="Picture 5"/>
            <wp:cNvGraphicFramePr>
              <a:graphicFrameLocks noChangeAspect="1"/>
            </wp:cNvGraphicFramePr>
            <a:graphic>
              <a:graphicData uri="http://schemas.openxmlformats.org/drawingml/2006/picture">
                <pic:pic>
                  <pic:nvPicPr>
                    <pic:cNvPr id="0" name="fig_performers.png"/>
                    <pic:cNvPicPr/>
                  </pic:nvPicPr>
                  <pic:blipFill>
                    <a:blip r:embed="rId13"/>
                    <a:stretch>
                      <a:fillRect/>
                    </a:stretch>
                  </pic:blipFill>
                  <pic:spPr>
                    <a:xfrm>
                      <a:off x="0" y="0"/>
                      <a:ext cx="5577840" cy="4183380"/>
                    </a:xfrm>
                    <a:prstGeom prst="rect"/>
                  </pic:spPr>
                </pic:pic>
              </a:graphicData>
            </a:graphic>
          </wp:inline>
        </w:drawing>
      </w:r>
    </w:p>
    <w:p>
      <w:pPr>
        <w:jc w:val="center"/>
      </w:pPr>
      <w:r>
        <w:rPr>
          <w:i/>
          <w:sz w:val="18"/>
        </w:rPr>
        <w:t>Figure 5. Cities ranked by performance against the implied-size benchmark. Over-performers (top) are dominated by Atlantic and North Sea ports; under-performers (bottom) by Mediterranean and landlocked towns.</w:t>
      </w:r>
    </w:p>
    <w:p>
      <w:r>
        <w:rPr>
          <w:b/>
          <w:sz w:val="19"/>
        </w:rPr>
        <w:t>Table 1. Twenty-one major cities against the implied-size benchmark. ‘Implied 1500’ is the fitted value from the benchmark regression; the ratio is the city's over- or under-performance. Privilege columns distinguish an observed absence (‘—’: the city is inside the source's coverage area and no grant is recorded) from missing coverage (‘n/c’: the city lies outside the source's universe — the Städtebuch covers 1937 Germany, Viabundus the northern trade network — so its status is unobserved, not absent).</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8"/>
              </w:rPr>
              <w:t>City</w:t>
            </w:r>
          </w:p>
        </w:tc>
        <w:tc>
          <w:tcPr>
            <w:tcW w:type="dxa" w:w="1234"/>
          </w:tcPr>
          <w:p>
            <w:r/>
            <w:r>
              <w:rPr>
                <w:b/>
                <w:sz w:val="18"/>
              </w:rPr>
              <w:t>Pop 1200</w:t>
            </w:r>
          </w:p>
        </w:tc>
        <w:tc>
          <w:tcPr>
            <w:tcW w:type="dxa" w:w="1234"/>
          </w:tcPr>
          <w:p>
            <w:r/>
            <w:r>
              <w:rPr>
                <w:b/>
                <w:sz w:val="18"/>
              </w:rPr>
              <w:t>Implied 1500</w:t>
            </w:r>
          </w:p>
        </w:tc>
        <w:tc>
          <w:tcPr>
            <w:tcW w:type="dxa" w:w="1234"/>
          </w:tcPr>
          <w:p>
            <w:r/>
            <w:r>
              <w:rPr>
                <w:b/>
                <w:sz w:val="18"/>
              </w:rPr>
              <w:t>Actual 1500</w:t>
            </w:r>
          </w:p>
        </w:tc>
        <w:tc>
          <w:tcPr>
            <w:tcW w:type="dxa" w:w="1234"/>
          </w:tcPr>
          <w:p>
            <w:r/>
            <w:r>
              <w:rPr>
                <w:b/>
                <w:sz w:val="18"/>
              </w:rPr>
              <w:t>Actual / implied</w:t>
            </w:r>
          </w:p>
        </w:tc>
        <w:tc>
          <w:tcPr>
            <w:tcW w:type="dxa" w:w="1234"/>
          </w:tcPr>
          <w:p>
            <w:r/>
            <w:r>
              <w:rPr>
                <w:b/>
                <w:sz w:val="18"/>
              </w:rPr>
              <w:t>Charter</w:t>
            </w:r>
          </w:p>
        </w:tc>
        <w:tc>
          <w:tcPr>
            <w:tcW w:type="dxa" w:w="1234"/>
          </w:tcPr>
          <w:p>
            <w:r/>
            <w:r>
              <w:rPr>
                <w:b/>
                <w:sz w:val="18"/>
              </w:rPr>
              <w:t>Staple</w:t>
            </w:r>
          </w:p>
        </w:tc>
      </w:tr>
      <w:tr>
        <w:tc>
          <w:tcPr>
            <w:tcW w:type="dxa" w:w="1234"/>
          </w:tcPr>
          <w:p>
            <w:r/>
            <w:r>
              <w:rPr>
                <w:sz w:val="18"/>
              </w:rPr>
              <w:t>Koeln</w:t>
            </w:r>
          </w:p>
        </w:tc>
        <w:tc>
          <w:tcPr>
            <w:tcW w:type="dxa" w:w="1234"/>
          </w:tcPr>
          <w:p>
            <w:r/>
            <w:r>
              <w:rPr>
                <w:sz w:val="18"/>
              </w:rPr>
              <w:t>40,000</w:t>
            </w:r>
          </w:p>
        </w:tc>
        <w:tc>
          <w:tcPr>
            <w:tcW w:type="dxa" w:w="1234"/>
          </w:tcPr>
          <w:p>
            <w:r/>
            <w:r>
              <w:rPr>
                <w:sz w:val="18"/>
              </w:rPr>
              <w:t>40,800</w:t>
            </w:r>
          </w:p>
        </w:tc>
        <w:tc>
          <w:tcPr>
            <w:tcW w:type="dxa" w:w="1234"/>
          </w:tcPr>
          <w:p>
            <w:r/>
            <w:r>
              <w:rPr>
                <w:sz w:val="18"/>
              </w:rPr>
              <w:t>45,000</w:t>
            </w:r>
          </w:p>
        </w:tc>
        <w:tc>
          <w:tcPr>
            <w:tcW w:type="dxa" w:w="1234"/>
          </w:tcPr>
          <w:p>
            <w:r/>
            <w:r>
              <w:rPr>
                <w:sz w:val="18"/>
              </w:rPr>
              <w:t>1.1×</w:t>
            </w:r>
          </w:p>
        </w:tc>
        <w:tc>
          <w:tcPr>
            <w:tcW w:type="dxa" w:w="1234"/>
          </w:tcPr>
          <w:p>
            <w:r/>
            <w:r>
              <w:rPr>
                <w:sz w:val="18"/>
              </w:rPr>
              <w:t>—</w:t>
            </w:r>
          </w:p>
        </w:tc>
        <w:tc>
          <w:tcPr>
            <w:tcW w:type="dxa" w:w="1234"/>
          </w:tcPr>
          <w:p>
            <w:r/>
            <w:r>
              <w:rPr>
                <w:sz w:val="18"/>
              </w:rPr>
              <w:t>yes</w:t>
            </w:r>
          </w:p>
        </w:tc>
      </w:tr>
      <w:tr>
        <w:tc>
          <w:tcPr>
            <w:tcW w:type="dxa" w:w="1234"/>
          </w:tcPr>
          <w:p>
            <w:r/>
            <w:r>
              <w:rPr>
                <w:sz w:val="18"/>
              </w:rPr>
              <w:t>Nuernberg</w:t>
            </w:r>
          </w:p>
        </w:tc>
        <w:tc>
          <w:tcPr>
            <w:tcW w:type="dxa" w:w="1234"/>
          </w:tcPr>
          <w:p>
            <w:r/>
            <w:r>
              <w:rPr>
                <w:sz w:val="18"/>
              </w:rPr>
              <w:t>7,000</w:t>
            </w:r>
          </w:p>
        </w:tc>
        <w:tc>
          <w:tcPr>
            <w:tcW w:type="dxa" w:w="1234"/>
          </w:tcPr>
          <w:p>
            <w:r/>
            <w:r>
              <w:rPr>
                <w:sz w:val="18"/>
              </w:rPr>
              <w:t>9,100</w:t>
            </w:r>
          </w:p>
        </w:tc>
        <w:tc>
          <w:tcPr>
            <w:tcW w:type="dxa" w:w="1234"/>
          </w:tcPr>
          <w:p>
            <w:r/>
            <w:r>
              <w:rPr>
                <w:sz w:val="18"/>
              </w:rPr>
              <w:t>38,000</w:t>
            </w:r>
          </w:p>
        </w:tc>
        <w:tc>
          <w:tcPr>
            <w:tcW w:type="dxa" w:w="1234"/>
          </w:tcPr>
          <w:p>
            <w:r/>
            <w:r>
              <w:rPr>
                <w:sz w:val="18"/>
              </w:rPr>
              <w:t>4.2×</w:t>
            </w:r>
          </w:p>
        </w:tc>
        <w:tc>
          <w:tcPr>
            <w:tcW w:type="dxa" w:w="1234"/>
          </w:tcPr>
          <w:p>
            <w:r/>
            <w:r>
              <w:rPr>
                <w:sz w:val="18"/>
              </w:rPr>
              <w:t>1200</w:t>
            </w:r>
          </w:p>
        </w:tc>
        <w:tc>
          <w:tcPr>
            <w:tcW w:type="dxa" w:w="1234"/>
          </w:tcPr>
          <w:p>
            <w:r/>
            <w:r>
              <w:rPr>
                <w:sz w:val="18"/>
              </w:rPr>
              <w:t>—</w:t>
            </w:r>
          </w:p>
        </w:tc>
      </w:tr>
      <w:tr>
        <w:tc>
          <w:tcPr>
            <w:tcW w:type="dxa" w:w="1234"/>
          </w:tcPr>
          <w:p>
            <w:r/>
            <w:r>
              <w:rPr>
                <w:sz w:val="18"/>
              </w:rPr>
              <w:t>Augsburg</w:t>
            </w:r>
          </w:p>
        </w:tc>
        <w:tc>
          <w:tcPr>
            <w:tcW w:type="dxa" w:w="1234"/>
          </w:tcPr>
          <w:p>
            <w:r/>
            <w:r>
              <w:rPr>
                <w:sz w:val="18"/>
              </w:rPr>
              <w:t>13,000</w:t>
            </w:r>
          </w:p>
        </w:tc>
        <w:tc>
          <w:tcPr>
            <w:tcW w:type="dxa" w:w="1234"/>
          </w:tcPr>
          <w:p>
            <w:r/>
            <w:r>
              <w:rPr>
                <w:sz w:val="18"/>
              </w:rPr>
              <w:t>15,500</w:t>
            </w:r>
          </w:p>
        </w:tc>
        <w:tc>
          <w:tcPr>
            <w:tcW w:type="dxa" w:w="1234"/>
          </w:tcPr>
          <w:p>
            <w:r/>
            <w:r>
              <w:rPr>
                <w:sz w:val="18"/>
              </w:rPr>
              <w:t>30,000</w:t>
            </w:r>
          </w:p>
        </w:tc>
        <w:tc>
          <w:tcPr>
            <w:tcW w:type="dxa" w:w="1234"/>
          </w:tcPr>
          <w:p>
            <w:r/>
            <w:r>
              <w:rPr>
                <w:sz w:val="18"/>
              </w:rPr>
              <w:t>1.9×</w:t>
            </w:r>
          </w:p>
        </w:tc>
        <w:tc>
          <w:tcPr>
            <w:tcW w:type="dxa" w:w="1234"/>
          </w:tcPr>
          <w:p>
            <w:r/>
            <w:r>
              <w:rPr>
                <w:sz w:val="18"/>
              </w:rPr>
              <w:t>—</w:t>
            </w:r>
          </w:p>
        </w:tc>
        <w:tc>
          <w:tcPr>
            <w:tcW w:type="dxa" w:w="1234"/>
          </w:tcPr>
          <w:p>
            <w:r/>
            <w:r>
              <w:rPr>
                <w:sz w:val="18"/>
              </w:rPr>
              <w:t>n/c</w:t>
            </w:r>
          </w:p>
        </w:tc>
      </w:tr>
      <w:tr>
        <w:tc>
          <w:tcPr>
            <w:tcW w:type="dxa" w:w="1234"/>
          </w:tcPr>
          <w:p>
            <w:r/>
            <w:r>
              <w:rPr>
                <w:sz w:val="18"/>
              </w:rPr>
              <w:t>Gdansk</w:t>
            </w:r>
          </w:p>
        </w:tc>
        <w:tc>
          <w:tcPr>
            <w:tcW w:type="dxa" w:w="1234"/>
          </w:tcPr>
          <w:p>
            <w:r/>
            <w:r>
              <w:rPr>
                <w:sz w:val="18"/>
              </w:rPr>
              <w:t>5,000</w:t>
            </w:r>
          </w:p>
        </w:tc>
        <w:tc>
          <w:tcPr>
            <w:tcW w:type="dxa" w:w="1234"/>
          </w:tcPr>
          <w:p>
            <w:r/>
            <w:r>
              <w:rPr>
                <w:sz w:val="18"/>
              </w:rPr>
              <w:t>6,800</w:t>
            </w:r>
          </w:p>
        </w:tc>
        <w:tc>
          <w:tcPr>
            <w:tcW w:type="dxa" w:w="1234"/>
          </w:tcPr>
          <w:p>
            <w:r/>
            <w:r>
              <w:rPr>
                <w:sz w:val="18"/>
              </w:rPr>
              <w:t>30,000</w:t>
            </w:r>
          </w:p>
        </w:tc>
        <w:tc>
          <w:tcPr>
            <w:tcW w:type="dxa" w:w="1234"/>
          </w:tcPr>
          <w:p>
            <w:r/>
            <w:r>
              <w:rPr>
                <w:sz w:val="18"/>
              </w:rPr>
              <w:t>4.4×</w:t>
            </w:r>
          </w:p>
        </w:tc>
        <w:tc>
          <w:tcPr>
            <w:tcW w:type="dxa" w:w="1234"/>
          </w:tcPr>
          <w:p>
            <w:r/>
            <w:r>
              <w:rPr>
                <w:sz w:val="18"/>
              </w:rPr>
              <w:t>1224</w:t>
            </w:r>
          </w:p>
        </w:tc>
        <w:tc>
          <w:tcPr>
            <w:tcW w:type="dxa" w:w="1234"/>
          </w:tcPr>
          <w:p>
            <w:r/>
            <w:r>
              <w:rPr>
                <w:sz w:val="18"/>
              </w:rPr>
              <w:t>yes</w:t>
            </w:r>
          </w:p>
        </w:tc>
      </w:tr>
      <w:tr>
        <w:tc>
          <w:tcPr>
            <w:tcW w:type="dxa" w:w="1234"/>
          </w:tcPr>
          <w:p>
            <w:r/>
            <w:r>
              <w:rPr>
                <w:sz w:val="18"/>
              </w:rPr>
              <w:t>Hamburg</w:t>
            </w:r>
          </w:p>
        </w:tc>
        <w:tc>
          <w:tcPr>
            <w:tcW w:type="dxa" w:w="1234"/>
          </w:tcPr>
          <w:p>
            <w:r/>
            <w:r>
              <w:rPr>
                <w:sz w:val="18"/>
              </w:rPr>
              <w:t>2,000</w:t>
            </w:r>
          </w:p>
        </w:tc>
        <w:tc>
          <w:tcPr>
            <w:tcW w:type="dxa" w:w="1234"/>
          </w:tcPr>
          <w:p>
            <w:r/>
            <w:r>
              <w:rPr>
                <w:sz w:val="18"/>
              </w:rPr>
              <w:t>3,100</w:t>
            </w:r>
          </w:p>
        </w:tc>
        <w:tc>
          <w:tcPr>
            <w:tcW w:type="dxa" w:w="1234"/>
          </w:tcPr>
          <w:p>
            <w:r/>
            <w:r>
              <w:rPr>
                <w:sz w:val="18"/>
              </w:rPr>
              <w:t>30,000</w:t>
            </w:r>
          </w:p>
        </w:tc>
        <w:tc>
          <w:tcPr>
            <w:tcW w:type="dxa" w:w="1234"/>
          </w:tcPr>
          <w:p>
            <w:r/>
            <w:r>
              <w:rPr>
                <w:sz w:val="18"/>
              </w:rPr>
              <w:t>9.7×</w:t>
            </w:r>
          </w:p>
        </w:tc>
        <w:tc>
          <w:tcPr>
            <w:tcW w:type="dxa" w:w="1234"/>
          </w:tcPr>
          <w:p>
            <w:r/>
            <w:r>
              <w:rPr>
                <w:sz w:val="18"/>
              </w:rPr>
              <w:t>1215</w:t>
            </w:r>
          </w:p>
        </w:tc>
        <w:tc>
          <w:tcPr>
            <w:tcW w:type="dxa" w:w="1234"/>
          </w:tcPr>
          <w:p>
            <w:r/>
            <w:r>
              <w:rPr>
                <w:sz w:val="18"/>
              </w:rPr>
              <w:t>yes</w:t>
            </w:r>
          </w:p>
        </w:tc>
      </w:tr>
      <w:tr>
        <w:tc>
          <w:tcPr>
            <w:tcW w:type="dxa" w:w="1234"/>
          </w:tcPr>
          <w:p>
            <w:r/>
            <w:r>
              <w:rPr>
                <w:sz w:val="18"/>
              </w:rPr>
              <w:t>Antwerpen</w:t>
            </w:r>
          </w:p>
        </w:tc>
        <w:tc>
          <w:tcPr>
            <w:tcW w:type="dxa" w:w="1234"/>
          </w:tcPr>
          <w:p>
            <w:r/>
            <w:r>
              <w:rPr>
                <w:sz w:val="18"/>
              </w:rPr>
              <w:t>3,000</w:t>
            </w:r>
          </w:p>
        </w:tc>
        <w:tc>
          <w:tcPr>
            <w:tcW w:type="dxa" w:w="1234"/>
          </w:tcPr>
          <w:p>
            <w:r/>
            <w:r>
              <w:rPr>
                <w:sz w:val="18"/>
              </w:rPr>
              <w:t>4,400</w:t>
            </w:r>
          </w:p>
        </w:tc>
        <w:tc>
          <w:tcPr>
            <w:tcW w:type="dxa" w:w="1234"/>
          </w:tcPr>
          <w:p>
            <w:r/>
            <w:r>
              <w:rPr>
                <w:sz w:val="18"/>
              </w:rPr>
              <w:t>30,000</w:t>
            </w:r>
          </w:p>
        </w:tc>
        <w:tc>
          <w:tcPr>
            <w:tcW w:type="dxa" w:w="1234"/>
          </w:tcPr>
          <w:p>
            <w:r/>
            <w:r>
              <w:rPr>
                <w:sz w:val="18"/>
              </w:rPr>
              <w:t>6.9×</w:t>
            </w:r>
          </w:p>
        </w:tc>
        <w:tc>
          <w:tcPr>
            <w:tcW w:type="dxa" w:w="1234"/>
          </w:tcPr>
          <w:p>
            <w:r/>
            <w:r>
              <w:rPr>
                <w:sz w:val="18"/>
              </w:rPr>
              <w:t>n/c</w:t>
            </w:r>
          </w:p>
        </w:tc>
        <w:tc>
          <w:tcPr>
            <w:tcW w:type="dxa" w:w="1234"/>
          </w:tcPr>
          <w:p>
            <w:r/>
            <w:r>
              <w:rPr>
                <w:sz w:val="18"/>
              </w:rPr>
              <w:t>yes</w:t>
            </w:r>
          </w:p>
        </w:tc>
      </w:tr>
      <w:tr>
        <w:tc>
          <w:tcPr>
            <w:tcW w:type="dxa" w:w="1234"/>
          </w:tcPr>
          <w:p>
            <w:r/>
            <w:r>
              <w:rPr>
                <w:sz w:val="18"/>
              </w:rPr>
              <w:t>Utrecht</w:t>
            </w:r>
          </w:p>
        </w:tc>
        <w:tc>
          <w:tcPr>
            <w:tcW w:type="dxa" w:w="1234"/>
          </w:tcPr>
          <w:p>
            <w:r/>
            <w:r>
              <w:rPr>
                <w:sz w:val="18"/>
              </w:rPr>
              <w:t>3,000</w:t>
            </w:r>
          </w:p>
        </w:tc>
        <w:tc>
          <w:tcPr>
            <w:tcW w:type="dxa" w:w="1234"/>
          </w:tcPr>
          <w:p>
            <w:r/>
            <w:r>
              <w:rPr>
                <w:sz w:val="18"/>
              </w:rPr>
              <w:t>4,400</w:t>
            </w:r>
          </w:p>
        </w:tc>
        <w:tc>
          <w:tcPr>
            <w:tcW w:type="dxa" w:w="1234"/>
          </w:tcPr>
          <w:p>
            <w:r/>
            <w:r>
              <w:rPr>
                <w:sz w:val="18"/>
              </w:rPr>
              <w:t>25,000</w:t>
            </w:r>
          </w:p>
        </w:tc>
        <w:tc>
          <w:tcPr>
            <w:tcW w:type="dxa" w:w="1234"/>
          </w:tcPr>
          <w:p>
            <w:r/>
            <w:r>
              <w:rPr>
                <w:sz w:val="18"/>
              </w:rPr>
              <w:t>5.7×</w:t>
            </w:r>
          </w:p>
        </w:tc>
        <w:tc>
          <w:tcPr>
            <w:tcW w:type="dxa" w:w="1234"/>
          </w:tcPr>
          <w:p>
            <w:r/>
            <w:r>
              <w:rPr>
                <w:sz w:val="18"/>
              </w:rPr>
              <w:t>n/c</w:t>
            </w:r>
          </w:p>
        </w:tc>
        <w:tc>
          <w:tcPr>
            <w:tcW w:type="dxa" w:w="1234"/>
          </w:tcPr>
          <w:p>
            <w:r/>
            <w:r>
              <w:rPr>
                <w:sz w:val="18"/>
              </w:rPr>
              <w:t>yes</w:t>
            </w:r>
          </w:p>
        </w:tc>
      </w:tr>
      <w:tr>
        <w:tc>
          <w:tcPr>
            <w:tcW w:type="dxa" w:w="1234"/>
          </w:tcPr>
          <w:p>
            <w:r/>
            <w:r>
              <w:rPr>
                <w:sz w:val="18"/>
              </w:rPr>
              <w:t>Luebeck</w:t>
            </w:r>
          </w:p>
        </w:tc>
        <w:tc>
          <w:tcPr>
            <w:tcW w:type="dxa" w:w="1234"/>
          </w:tcPr>
          <w:p>
            <w:r/>
            <w:r>
              <w:rPr>
                <w:sz w:val="18"/>
              </w:rPr>
              <w:t>11,000</w:t>
            </w:r>
          </w:p>
        </w:tc>
        <w:tc>
          <w:tcPr>
            <w:tcW w:type="dxa" w:w="1234"/>
          </w:tcPr>
          <w:p>
            <w:r/>
            <w:r>
              <w:rPr>
                <w:sz w:val="18"/>
              </w:rPr>
              <w:t>13,400</w:t>
            </w:r>
          </w:p>
        </w:tc>
        <w:tc>
          <w:tcPr>
            <w:tcW w:type="dxa" w:w="1234"/>
          </w:tcPr>
          <w:p>
            <w:r/>
            <w:r>
              <w:rPr>
                <w:sz w:val="18"/>
              </w:rPr>
              <w:t>25,000</w:t>
            </w:r>
          </w:p>
        </w:tc>
        <w:tc>
          <w:tcPr>
            <w:tcW w:type="dxa" w:w="1234"/>
          </w:tcPr>
          <w:p>
            <w:r/>
            <w:r>
              <w:rPr>
                <w:sz w:val="18"/>
              </w:rPr>
              <w:t>1.9×</w:t>
            </w:r>
          </w:p>
        </w:tc>
        <w:tc>
          <w:tcPr>
            <w:tcW w:type="dxa" w:w="1234"/>
          </w:tcPr>
          <w:p>
            <w:r/>
            <w:r>
              <w:rPr>
                <w:sz w:val="18"/>
              </w:rPr>
              <w:t>1160</w:t>
            </w:r>
          </w:p>
        </w:tc>
        <w:tc>
          <w:tcPr>
            <w:tcW w:type="dxa" w:w="1234"/>
          </w:tcPr>
          <w:p>
            <w:r/>
            <w:r>
              <w:rPr>
                <w:sz w:val="18"/>
              </w:rPr>
              <w:t>yes</w:t>
            </w:r>
          </w:p>
        </w:tc>
      </w:tr>
      <w:tr>
        <w:tc>
          <w:tcPr>
            <w:tcW w:type="dxa" w:w="1234"/>
          </w:tcPr>
          <w:p>
            <w:r/>
            <w:r>
              <w:rPr>
                <w:sz w:val="18"/>
              </w:rPr>
              <w:t>Regensburg</w:t>
            </w:r>
          </w:p>
        </w:tc>
        <w:tc>
          <w:tcPr>
            <w:tcW w:type="dxa" w:w="1234"/>
          </w:tcPr>
          <w:p>
            <w:r/>
            <w:r>
              <w:rPr>
                <w:sz w:val="18"/>
              </w:rPr>
              <w:t>16,000</w:t>
            </w:r>
          </w:p>
        </w:tc>
        <w:tc>
          <w:tcPr>
            <w:tcW w:type="dxa" w:w="1234"/>
          </w:tcPr>
          <w:p>
            <w:r/>
            <w:r>
              <w:rPr>
                <w:sz w:val="18"/>
              </w:rPr>
              <w:t>18,500</w:t>
            </w:r>
          </w:p>
        </w:tc>
        <w:tc>
          <w:tcPr>
            <w:tcW w:type="dxa" w:w="1234"/>
          </w:tcPr>
          <w:p>
            <w:r/>
            <w:r>
              <w:rPr>
                <w:sz w:val="18"/>
              </w:rPr>
              <w:t>22,000</w:t>
            </w:r>
          </w:p>
        </w:tc>
        <w:tc>
          <w:tcPr>
            <w:tcW w:type="dxa" w:w="1234"/>
          </w:tcPr>
          <w:p>
            <w:r/>
            <w:r>
              <w:rPr>
                <w:sz w:val="18"/>
              </w:rPr>
              <w:t>1.2×</w:t>
            </w:r>
          </w:p>
        </w:tc>
        <w:tc>
          <w:tcPr>
            <w:tcW w:type="dxa" w:w="1234"/>
          </w:tcPr>
          <w:p>
            <w:r/>
            <w:r>
              <w:rPr>
                <w:sz w:val="18"/>
              </w:rPr>
              <w:t>1207</w:t>
            </w:r>
          </w:p>
        </w:tc>
        <w:tc>
          <w:tcPr>
            <w:tcW w:type="dxa" w:w="1234"/>
          </w:tcPr>
          <w:p>
            <w:r/>
            <w:r>
              <w:rPr>
                <w:sz w:val="18"/>
              </w:rPr>
              <w:t>n/c</w:t>
            </w:r>
          </w:p>
        </w:tc>
      </w:tr>
      <w:tr>
        <w:tc>
          <w:tcPr>
            <w:tcW w:type="dxa" w:w="1234"/>
          </w:tcPr>
          <w:p>
            <w:r/>
            <w:r>
              <w:rPr>
                <w:sz w:val="18"/>
              </w:rPr>
              <w:t>Wien</w:t>
            </w:r>
          </w:p>
        </w:tc>
        <w:tc>
          <w:tcPr>
            <w:tcW w:type="dxa" w:w="1234"/>
          </w:tcPr>
          <w:p>
            <w:r/>
            <w:r>
              <w:rPr>
                <w:sz w:val="18"/>
              </w:rPr>
              <w:t>17,000</w:t>
            </w:r>
          </w:p>
        </w:tc>
        <w:tc>
          <w:tcPr>
            <w:tcW w:type="dxa" w:w="1234"/>
          </w:tcPr>
          <w:p>
            <w:r/>
            <w:r>
              <w:rPr>
                <w:sz w:val="18"/>
              </w:rPr>
              <w:t>19,500</w:t>
            </w:r>
          </w:p>
        </w:tc>
        <w:tc>
          <w:tcPr>
            <w:tcW w:type="dxa" w:w="1234"/>
          </w:tcPr>
          <w:p>
            <w:r/>
            <w:r>
              <w:rPr>
                <w:sz w:val="18"/>
              </w:rPr>
              <w:t>20,000</w:t>
            </w:r>
          </w:p>
        </w:tc>
        <w:tc>
          <w:tcPr>
            <w:tcW w:type="dxa" w:w="1234"/>
          </w:tcPr>
          <w:p>
            <w:r/>
            <w:r>
              <w:rPr>
                <w:sz w:val="18"/>
              </w:rPr>
              <w:t>1.0×</w:t>
            </w:r>
          </w:p>
        </w:tc>
        <w:tc>
          <w:tcPr>
            <w:tcW w:type="dxa" w:w="1234"/>
          </w:tcPr>
          <w:p>
            <w:r/>
            <w:r>
              <w:rPr>
                <w:sz w:val="18"/>
              </w:rPr>
              <w:t>n/c</w:t>
            </w:r>
          </w:p>
        </w:tc>
        <w:tc>
          <w:tcPr>
            <w:tcW w:type="dxa" w:w="1234"/>
          </w:tcPr>
          <w:p>
            <w:r/>
            <w:r>
              <w:rPr>
                <w:sz w:val="18"/>
              </w:rPr>
              <w:t>n/c</w:t>
            </w:r>
          </w:p>
        </w:tc>
      </w:tr>
      <w:tr>
        <w:tc>
          <w:tcPr>
            <w:tcW w:type="dxa" w:w="1234"/>
          </w:tcPr>
          <w:p>
            <w:r/>
            <w:r>
              <w:rPr>
                <w:sz w:val="18"/>
              </w:rPr>
              <w:t>Strasbourg</w:t>
            </w:r>
          </w:p>
        </w:tc>
        <w:tc>
          <w:tcPr>
            <w:tcW w:type="dxa" w:w="1234"/>
          </w:tcPr>
          <w:p>
            <w:r/>
            <w:r>
              <w:rPr>
                <w:sz w:val="18"/>
              </w:rPr>
              <w:t>10,000</w:t>
            </w:r>
          </w:p>
        </w:tc>
        <w:tc>
          <w:tcPr>
            <w:tcW w:type="dxa" w:w="1234"/>
          </w:tcPr>
          <w:p>
            <w:r/>
            <w:r>
              <w:rPr>
                <w:sz w:val="18"/>
              </w:rPr>
              <w:t>12,400</w:t>
            </w:r>
          </w:p>
        </w:tc>
        <w:tc>
          <w:tcPr>
            <w:tcW w:type="dxa" w:w="1234"/>
          </w:tcPr>
          <w:p>
            <w:r/>
            <w:r>
              <w:rPr>
                <w:sz w:val="18"/>
              </w:rPr>
              <w:t>20,000</w:t>
            </w:r>
          </w:p>
        </w:tc>
        <w:tc>
          <w:tcPr>
            <w:tcW w:type="dxa" w:w="1234"/>
          </w:tcPr>
          <w:p>
            <w:r/>
            <w:r>
              <w:rPr>
                <w:sz w:val="18"/>
              </w:rPr>
              <w:t>1.6×</w:t>
            </w:r>
          </w:p>
        </w:tc>
        <w:tc>
          <w:tcPr>
            <w:tcW w:type="dxa" w:w="1234"/>
          </w:tcPr>
          <w:p>
            <w:r/>
            <w:r>
              <w:rPr>
                <w:sz w:val="18"/>
              </w:rPr>
              <w:t>—</w:t>
            </w:r>
          </w:p>
        </w:tc>
        <w:tc>
          <w:tcPr>
            <w:tcW w:type="dxa" w:w="1234"/>
          </w:tcPr>
          <w:p>
            <w:r/>
            <w:r>
              <w:rPr>
                <w:sz w:val="18"/>
              </w:rPr>
              <w:t>n/c</w:t>
            </w:r>
          </w:p>
        </w:tc>
      </w:tr>
      <w:tr>
        <w:tc>
          <w:tcPr>
            <w:tcW w:type="dxa" w:w="1234"/>
          </w:tcPr>
          <w:p>
            <w:r/>
            <w:r>
              <w:rPr>
                <w:sz w:val="18"/>
              </w:rPr>
              <w:t>Erfurt</w:t>
            </w:r>
          </w:p>
        </w:tc>
        <w:tc>
          <w:tcPr>
            <w:tcW w:type="dxa" w:w="1234"/>
          </w:tcPr>
          <w:p>
            <w:r/>
            <w:r>
              <w:rPr>
                <w:sz w:val="18"/>
              </w:rPr>
              <w:t>15,000</w:t>
            </w:r>
          </w:p>
        </w:tc>
        <w:tc>
          <w:tcPr>
            <w:tcW w:type="dxa" w:w="1234"/>
          </w:tcPr>
          <w:p>
            <w:r/>
            <w:r>
              <w:rPr>
                <w:sz w:val="18"/>
              </w:rPr>
              <w:t>17,500</w:t>
            </w:r>
          </w:p>
        </w:tc>
        <w:tc>
          <w:tcPr>
            <w:tcW w:type="dxa" w:w="1234"/>
          </w:tcPr>
          <w:p>
            <w:r/>
            <w:r>
              <w:rPr>
                <w:sz w:val="18"/>
              </w:rPr>
              <w:t>19,000</w:t>
            </w:r>
          </w:p>
        </w:tc>
        <w:tc>
          <w:tcPr>
            <w:tcW w:type="dxa" w:w="1234"/>
          </w:tcPr>
          <w:p>
            <w:r/>
            <w:r>
              <w:rPr>
                <w:sz w:val="18"/>
              </w:rPr>
              <w:t>1.1×</w:t>
            </w:r>
          </w:p>
        </w:tc>
        <w:tc>
          <w:tcPr>
            <w:tcW w:type="dxa" w:w="1234"/>
          </w:tcPr>
          <w:p>
            <w:r/>
            <w:r>
              <w:rPr>
                <w:sz w:val="18"/>
              </w:rPr>
              <w:t>—</w:t>
            </w:r>
          </w:p>
        </w:tc>
        <w:tc>
          <w:tcPr>
            <w:tcW w:type="dxa" w:w="1234"/>
          </w:tcPr>
          <w:p>
            <w:r/>
            <w:r>
              <w:rPr>
                <w:sz w:val="18"/>
              </w:rPr>
              <w:t>yes</w:t>
            </w:r>
          </w:p>
        </w:tc>
      </w:tr>
      <w:tr>
        <w:tc>
          <w:tcPr>
            <w:tcW w:type="dxa" w:w="1234"/>
          </w:tcPr>
          <w:p>
            <w:r/>
            <w:r>
              <w:rPr>
                <w:sz w:val="18"/>
              </w:rPr>
              <w:t>Bremen</w:t>
            </w:r>
          </w:p>
        </w:tc>
        <w:tc>
          <w:tcPr>
            <w:tcW w:type="dxa" w:w="1234"/>
          </w:tcPr>
          <w:p>
            <w:r/>
            <w:r>
              <w:rPr>
                <w:sz w:val="18"/>
              </w:rPr>
              <w:t>8,000</w:t>
            </w:r>
          </w:p>
        </w:tc>
        <w:tc>
          <w:tcPr>
            <w:tcW w:type="dxa" w:w="1234"/>
          </w:tcPr>
          <w:p>
            <w:r/>
            <w:r>
              <w:rPr>
                <w:sz w:val="18"/>
              </w:rPr>
              <w:t>10,200</w:t>
            </w:r>
          </w:p>
        </w:tc>
        <w:tc>
          <w:tcPr>
            <w:tcW w:type="dxa" w:w="1234"/>
          </w:tcPr>
          <w:p>
            <w:r/>
            <w:r>
              <w:rPr>
                <w:sz w:val="18"/>
              </w:rPr>
              <w:t>18,000</w:t>
            </w:r>
          </w:p>
        </w:tc>
        <w:tc>
          <w:tcPr>
            <w:tcW w:type="dxa" w:w="1234"/>
          </w:tcPr>
          <w:p>
            <w:r/>
            <w:r>
              <w:rPr>
                <w:sz w:val="18"/>
              </w:rPr>
              <w:t>1.8×</w:t>
            </w:r>
          </w:p>
        </w:tc>
        <w:tc>
          <w:tcPr>
            <w:tcW w:type="dxa" w:w="1234"/>
          </w:tcPr>
          <w:p>
            <w:r/>
            <w:r>
              <w:rPr>
                <w:sz w:val="18"/>
              </w:rPr>
              <w:t>1186</w:t>
            </w:r>
          </w:p>
        </w:tc>
        <w:tc>
          <w:tcPr>
            <w:tcW w:type="dxa" w:w="1234"/>
          </w:tcPr>
          <w:p>
            <w:r/>
            <w:r>
              <w:rPr>
                <w:sz w:val="18"/>
              </w:rPr>
              <w:t>yes</w:t>
            </w:r>
          </w:p>
        </w:tc>
      </w:tr>
      <w:tr>
        <w:tc>
          <w:tcPr>
            <w:tcW w:type="dxa" w:w="1234"/>
          </w:tcPr>
          <w:p>
            <w:r/>
            <w:r>
              <w:rPr>
                <w:sz w:val="18"/>
              </w:rPr>
              <w:t>Magdeburg</w:t>
            </w:r>
          </w:p>
        </w:tc>
        <w:tc>
          <w:tcPr>
            <w:tcW w:type="dxa" w:w="1234"/>
          </w:tcPr>
          <w:p>
            <w:r/>
            <w:r>
              <w:rPr>
                <w:sz w:val="18"/>
              </w:rPr>
              <w:t>16,000</w:t>
            </w:r>
          </w:p>
        </w:tc>
        <w:tc>
          <w:tcPr>
            <w:tcW w:type="dxa" w:w="1234"/>
          </w:tcPr>
          <w:p>
            <w:r/>
            <w:r>
              <w:rPr>
                <w:sz w:val="18"/>
              </w:rPr>
              <w:t>18,500</w:t>
            </w:r>
          </w:p>
        </w:tc>
        <w:tc>
          <w:tcPr>
            <w:tcW w:type="dxa" w:w="1234"/>
          </w:tcPr>
          <w:p>
            <w:r/>
            <w:r>
              <w:rPr>
                <w:sz w:val="18"/>
              </w:rPr>
              <w:t>18,000</w:t>
            </w:r>
          </w:p>
        </w:tc>
        <w:tc>
          <w:tcPr>
            <w:tcW w:type="dxa" w:w="1234"/>
          </w:tcPr>
          <w:p>
            <w:r/>
            <w:r>
              <w:rPr>
                <w:sz w:val="18"/>
              </w:rPr>
              <w:t>1.0×</w:t>
            </w:r>
          </w:p>
        </w:tc>
        <w:tc>
          <w:tcPr>
            <w:tcW w:type="dxa" w:w="1234"/>
          </w:tcPr>
          <w:p>
            <w:r/>
            <w:r>
              <w:rPr>
                <w:sz w:val="18"/>
              </w:rPr>
              <w:t>1188</w:t>
            </w:r>
          </w:p>
        </w:tc>
        <w:tc>
          <w:tcPr>
            <w:tcW w:type="dxa" w:w="1234"/>
          </w:tcPr>
          <w:p>
            <w:r/>
            <w:r>
              <w:rPr>
                <w:sz w:val="18"/>
              </w:rPr>
              <w:t>yes</w:t>
            </w:r>
          </w:p>
        </w:tc>
      </w:tr>
      <w:tr>
        <w:tc>
          <w:tcPr>
            <w:tcW w:type="dxa" w:w="1234"/>
          </w:tcPr>
          <w:p>
            <w:r/>
            <w:r>
              <w:rPr>
                <w:sz w:val="18"/>
              </w:rPr>
              <w:t>Ulm</w:t>
            </w:r>
          </w:p>
        </w:tc>
        <w:tc>
          <w:tcPr>
            <w:tcW w:type="dxa" w:w="1234"/>
          </w:tcPr>
          <w:p>
            <w:r/>
            <w:r>
              <w:rPr>
                <w:sz w:val="18"/>
              </w:rPr>
              <w:t>2,000</w:t>
            </w:r>
          </w:p>
        </w:tc>
        <w:tc>
          <w:tcPr>
            <w:tcW w:type="dxa" w:w="1234"/>
          </w:tcPr>
          <w:p>
            <w:r/>
            <w:r>
              <w:rPr>
                <w:sz w:val="18"/>
              </w:rPr>
              <w:t>3,100</w:t>
            </w:r>
          </w:p>
        </w:tc>
        <w:tc>
          <w:tcPr>
            <w:tcW w:type="dxa" w:w="1234"/>
          </w:tcPr>
          <w:p>
            <w:r/>
            <w:r>
              <w:rPr>
                <w:sz w:val="18"/>
              </w:rPr>
              <w:t>16,000</w:t>
            </w:r>
          </w:p>
        </w:tc>
        <w:tc>
          <w:tcPr>
            <w:tcW w:type="dxa" w:w="1234"/>
          </w:tcPr>
          <w:p>
            <w:r/>
            <w:r>
              <w:rPr>
                <w:sz w:val="18"/>
              </w:rPr>
              <w:t>5.2×</w:t>
            </w:r>
          </w:p>
        </w:tc>
        <w:tc>
          <w:tcPr>
            <w:tcW w:type="dxa" w:w="1234"/>
          </w:tcPr>
          <w:p>
            <w:r/>
            <w:r>
              <w:rPr>
                <w:sz w:val="18"/>
              </w:rPr>
              <w:t>1274</w:t>
            </w:r>
          </w:p>
        </w:tc>
        <w:tc>
          <w:tcPr>
            <w:tcW w:type="dxa" w:w="1234"/>
          </w:tcPr>
          <w:p>
            <w:r/>
            <w:r>
              <w:rPr>
                <w:sz w:val="18"/>
              </w:rPr>
              <w:t>n/c</w:t>
            </w:r>
          </w:p>
        </w:tc>
      </w:tr>
      <w:tr>
        <w:tc>
          <w:tcPr>
            <w:tcW w:type="dxa" w:w="1234"/>
          </w:tcPr>
          <w:p>
            <w:r/>
            <w:r>
              <w:rPr>
                <w:sz w:val="18"/>
              </w:rPr>
              <w:t>Amsterdam</w:t>
            </w:r>
          </w:p>
        </w:tc>
        <w:tc>
          <w:tcPr>
            <w:tcW w:type="dxa" w:w="1234"/>
          </w:tcPr>
          <w:p>
            <w:r/>
            <w:r>
              <w:rPr>
                <w:sz w:val="18"/>
              </w:rPr>
              <w:t>1,000</w:t>
            </w:r>
          </w:p>
        </w:tc>
        <w:tc>
          <w:tcPr>
            <w:tcW w:type="dxa" w:w="1234"/>
          </w:tcPr>
          <w:p>
            <w:r/>
            <w:r>
              <w:rPr>
                <w:sz w:val="18"/>
              </w:rPr>
              <w:t>1,700</w:t>
            </w:r>
          </w:p>
        </w:tc>
        <w:tc>
          <w:tcPr>
            <w:tcW w:type="dxa" w:w="1234"/>
          </w:tcPr>
          <w:p>
            <w:r/>
            <w:r>
              <w:rPr>
                <w:sz w:val="18"/>
              </w:rPr>
              <w:t>12,000</w:t>
            </w:r>
          </w:p>
        </w:tc>
        <w:tc>
          <w:tcPr>
            <w:tcW w:type="dxa" w:w="1234"/>
          </w:tcPr>
          <w:p>
            <w:r/>
            <w:r>
              <w:rPr>
                <w:sz w:val="18"/>
              </w:rPr>
              <w:t>7.1×</w:t>
            </w:r>
          </w:p>
        </w:tc>
        <w:tc>
          <w:tcPr>
            <w:tcW w:type="dxa" w:w="1234"/>
          </w:tcPr>
          <w:p>
            <w:r/>
            <w:r>
              <w:rPr>
                <w:sz w:val="18"/>
              </w:rPr>
              <w:t>n/c</w:t>
            </w:r>
          </w:p>
        </w:tc>
        <w:tc>
          <w:tcPr>
            <w:tcW w:type="dxa" w:w="1234"/>
          </w:tcPr>
          <w:p>
            <w:r/>
            <w:r>
              <w:rPr>
                <w:sz w:val="18"/>
              </w:rPr>
              <w:t>yes</w:t>
            </w:r>
          </w:p>
        </w:tc>
      </w:tr>
      <w:tr>
        <w:tc>
          <w:tcPr>
            <w:tcW w:type="dxa" w:w="1234"/>
          </w:tcPr>
          <w:p>
            <w:r/>
            <w:r>
              <w:rPr>
                <w:sz w:val="18"/>
              </w:rPr>
              <w:t>Frankfurt am Main</w:t>
            </w:r>
          </w:p>
        </w:tc>
        <w:tc>
          <w:tcPr>
            <w:tcW w:type="dxa" w:w="1234"/>
          </w:tcPr>
          <w:p>
            <w:r/>
            <w:r>
              <w:rPr>
                <w:sz w:val="18"/>
              </w:rPr>
              <w:t>4,000</w:t>
            </w:r>
          </w:p>
        </w:tc>
        <w:tc>
          <w:tcPr>
            <w:tcW w:type="dxa" w:w="1234"/>
          </w:tcPr>
          <w:p>
            <w:r/>
            <w:r>
              <w:rPr>
                <w:sz w:val="18"/>
              </w:rPr>
              <w:t>5,600</w:t>
            </w:r>
          </w:p>
        </w:tc>
        <w:tc>
          <w:tcPr>
            <w:tcW w:type="dxa" w:w="1234"/>
          </w:tcPr>
          <w:p>
            <w:r/>
            <w:r>
              <w:rPr>
                <w:sz w:val="18"/>
              </w:rPr>
              <w:t>12,000</w:t>
            </w:r>
          </w:p>
        </w:tc>
        <w:tc>
          <w:tcPr>
            <w:tcW w:type="dxa" w:w="1234"/>
          </w:tcPr>
          <w:p>
            <w:r/>
            <w:r>
              <w:rPr>
                <w:sz w:val="18"/>
              </w:rPr>
              <w:t>2.1×</w:t>
            </w:r>
          </w:p>
        </w:tc>
        <w:tc>
          <w:tcPr>
            <w:tcW w:type="dxa" w:w="1234"/>
          </w:tcPr>
          <w:p>
            <w:r/>
            <w:r>
              <w:rPr>
                <w:sz w:val="18"/>
              </w:rPr>
              <w:t>1297</w:t>
            </w:r>
          </w:p>
        </w:tc>
        <w:tc>
          <w:tcPr>
            <w:tcW w:type="dxa" w:w="1234"/>
          </w:tcPr>
          <w:p>
            <w:r/>
            <w:r>
              <w:rPr>
                <w:sz w:val="18"/>
              </w:rPr>
              <w:t>—</w:t>
            </w:r>
          </w:p>
        </w:tc>
      </w:tr>
      <w:tr>
        <w:tc>
          <w:tcPr>
            <w:tcW w:type="dxa" w:w="1234"/>
          </w:tcPr>
          <w:p>
            <w:r/>
            <w:r>
              <w:rPr>
                <w:sz w:val="18"/>
              </w:rPr>
              <w:t>Rostock</w:t>
            </w:r>
          </w:p>
        </w:tc>
        <w:tc>
          <w:tcPr>
            <w:tcW w:type="dxa" w:w="1234"/>
          </w:tcPr>
          <w:p>
            <w:r/>
            <w:r>
              <w:rPr>
                <w:sz w:val="18"/>
              </w:rPr>
              <w:t>3,000</w:t>
            </w:r>
          </w:p>
        </w:tc>
        <w:tc>
          <w:tcPr>
            <w:tcW w:type="dxa" w:w="1234"/>
          </w:tcPr>
          <w:p>
            <w:r/>
            <w:r>
              <w:rPr>
                <w:sz w:val="18"/>
              </w:rPr>
              <w:t>4,400</w:t>
            </w:r>
          </w:p>
        </w:tc>
        <w:tc>
          <w:tcPr>
            <w:tcW w:type="dxa" w:w="1234"/>
          </w:tcPr>
          <w:p>
            <w:r/>
            <w:r>
              <w:rPr>
                <w:sz w:val="18"/>
              </w:rPr>
              <w:t>10,000</w:t>
            </w:r>
          </w:p>
        </w:tc>
        <w:tc>
          <w:tcPr>
            <w:tcW w:type="dxa" w:w="1234"/>
          </w:tcPr>
          <w:p>
            <w:r/>
            <w:r>
              <w:rPr>
                <w:sz w:val="18"/>
              </w:rPr>
              <w:t>2.3×</w:t>
            </w:r>
          </w:p>
        </w:tc>
        <w:tc>
          <w:tcPr>
            <w:tcW w:type="dxa" w:w="1234"/>
          </w:tcPr>
          <w:p>
            <w:r/>
            <w:r>
              <w:rPr>
                <w:sz w:val="18"/>
              </w:rPr>
              <w:t>1218</w:t>
            </w:r>
          </w:p>
        </w:tc>
        <w:tc>
          <w:tcPr>
            <w:tcW w:type="dxa" w:w="1234"/>
          </w:tcPr>
          <w:p>
            <w:r/>
            <w:r>
              <w:rPr>
                <w:sz w:val="18"/>
              </w:rPr>
              <w:t>yes</w:t>
            </w:r>
          </w:p>
        </w:tc>
      </w:tr>
      <w:tr>
        <w:tc>
          <w:tcPr>
            <w:tcW w:type="dxa" w:w="1234"/>
          </w:tcPr>
          <w:p>
            <w:r/>
            <w:r>
              <w:rPr>
                <w:sz w:val="18"/>
              </w:rPr>
              <w:t>Basel</w:t>
            </w:r>
          </w:p>
        </w:tc>
        <w:tc>
          <w:tcPr>
            <w:tcW w:type="dxa" w:w="1234"/>
          </w:tcPr>
          <w:p>
            <w:r/>
            <w:r>
              <w:rPr>
                <w:sz w:val="18"/>
              </w:rPr>
              <w:t>5,000</w:t>
            </w:r>
          </w:p>
        </w:tc>
        <w:tc>
          <w:tcPr>
            <w:tcW w:type="dxa" w:w="1234"/>
          </w:tcPr>
          <w:p>
            <w:r/>
            <w:r>
              <w:rPr>
                <w:sz w:val="18"/>
              </w:rPr>
              <w:t>6,800</w:t>
            </w:r>
          </w:p>
        </w:tc>
        <w:tc>
          <w:tcPr>
            <w:tcW w:type="dxa" w:w="1234"/>
          </w:tcPr>
          <w:p>
            <w:r/>
            <w:r>
              <w:rPr>
                <w:sz w:val="18"/>
              </w:rPr>
              <w:t>10,000</w:t>
            </w:r>
          </w:p>
        </w:tc>
        <w:tc>
          <w:tcPr>
            <w:tcW w:type="dxa" w:w="1234"/>
          </w:tcPr>
          <w:p>
            <w:r/>
            <w:r>
              <w:rPr>
                <w:sz w:val="18"/>
              </w:rPr>
              <w:t>1.5×</w:t>
            </w:r>
          </w:p>
        </w:tc>
        <w:tc>
          <w:tcPr>
            <w:tcW w:type="dxa" w:w="1234"/>
          </w:tcPr>
          <w:p>
            <w:r/>
            <w:r>
              <w:rPr>
                <w:sz w:val="18"/>
              </w:rPr>
              <w:t>n/c</w:t>
            </w:r>
          </w:p>
        </w:tc>
        <w:tc>
          <w:tcPr>
            <w:tcW w:type="dxa" w:w="1234"/>
          </w:tcPr>
          <w:p>
            <w:r/>
            <w:r>
              <w:rPr>
                <w:sz w:val="18"/>
              </w:rPr>
              <w:t>n/c</w:t>
            </w:r>
          </w:p>
        </w:tc>
      </w:tr>
      <w:tr>
        <w:tc>
          <w:tcPr>
            <w:tcW w:type="dxa" w:w="1234"/>
          </w:tcPr>
          <w:p>
            <w:r/>
            <w:r>
              <w:rPr>
                <w:sz w:val="18"/>
              </w:rPr>
              <w:t>Leipzig</w:t>
            </w:r>
          </w:p>
        </w:tc>
        <w:tc>
          <w:tcPr>
            <w:tcW w:type="dxa" w:w="1234"/>
          </w:tcPr>
          <w:p>
            <w:r/>
            <w:r>
              <w:rPr>
                <w:sz w:val="18"/>
              </w:rPr>
              <w:t>3,000</w:t>
            </w:r>
          </w:p>
        </w:tc>
        <w:tc>
          <w:tcPr>
            <w:tcW w:type="dxa" w:w="1234"/>
          </w:tcPr>
          <w:p>
            <w:r/>
            <w:r>
              <w:rPr>
                <w:sz w:val="18"/>
              </w:rPr>
              <w:t>4,400</w:t>
            </w:r>
          </w:p>
        </w:tc>
        <w:tc>
          <w:tcPr>
            <w:tcW w:type="dxa" w:w="1234"/>
          </w:tcPr>
          <w:p>
            <w:r/>
            <w:r>
              <w:rPr>
                <w:sz w:val="18"/>
              </w:rPr>
              <w:t>7,000</w:t>
            </w:r>
          </w:p>
        </w:tc>
        <w:tc>
          <w:tcPr>
            <w:tcW w:type="dxa" w:w="1234"/>
          </w:tcPr>
          <w:p>
            <w:r/>
            <w:r>
              <w:rPr>
                <w:sz w:val="18"/>
              </w:rPr>
              <w:t>1.6×</w:t>
            </w:r>
          </w:p>
        </w:tc>
        <w:tc>
          <w:tcPr>
            <w:tcW w:type="dxa" w:w="1234"/>
          </w:tcPr>
          <w:p>
            <w:r/>
            <w:r>
              <w:rPr>
                <w:sz w:val="18"/>
              </w:rPr>
              <w:t>1156</w:t>
            </w:r>
          </w:p>
        </w:tc>
        <w:tc>
          <w:tcPr>
            <w:tcW w:type="dxa" w:w="1234"/>
          </w:tcPr>
          <w:p>
            <w:r/>
            <w:r>
              <w:rPr>
                <w:sz w:val="18"/>
              </w:rPr>
              <w:t>yes</w:t>
            </w:r>
          </w:p>
        </w:tc>
      </w:tr>
      <w:tr>
        <w:tc>
          <w:tcPr>
            <w:tcW w:type="dxa" w:w="1234"/>
          </w:tcPr>
          <w:p>
            <w:r/>
            <w:r>
              <w:rPr>
                <w:sz w:val="18"/>
              </w:rPr>
              <w:t>Mainz</w:t>
            </w:r>
          </w:p>
        </w:tc>
        <w:tc>
          <w:tcPr>
            <w:tcW w:type="dxa" w:w="1234"/>
          </w:tcPr>
          <w:p>
            <w:r/>
            <w:r>
              <w:rPr>
                <w:sz w:val="18"/>
              </w:rPr>
              <w:t>9,000</w:t>
            </w:r>
          </w:p>
        </w:tc>
        <w:tc>
          <w:tcPr>
            <w:tcW w:type="dxa" w:w="1234"/>
          </w:tcPr>
          <w:p>
            <w:r/>
            <w:r>
              <w:rPr>
                <w:sz w:val="18"/>
              </w:rPr>
              <w:t>11,300</w:t>
            </w:r>
          </w:p>
        </w:tc>
        <w:tc>
          <w:tcPr>
            <w:tcW w:type="dxa" w:w="1234"/>
          </w:tcPr>
          <w:p>
            <w:r/>
            <w:r>
              <w:rPr>
                <w:sz w:val="18"/>
              </w:rPr>
              <w:t>6,000</w:t>
            </w:r>
          </w:p>
        </w:tc>
        <w:tc>
          <w:tcPr>
            <w:tcW w:type="dxa" w:w="1234"/>
          </w:tcPr>
          <w:p>
            <w:r/>
            <w:r>
              <w:rPr>
                <w:sz w:val="18"/>
              </w:rPr>
              <w:t>0.5×</w:t>
            </w:r>
          </w:p>
        </w:tc>
        <w:tc>
          <w:tcPr>
            <w:tcW w:type="dxa" w:w="1234"/>
          </w:tcPr>
          <w:p>
            <w:r/>
            <w:r>
              <w:rPr>
                <w:sz w:val="18"/>
              </w:rPr>
              <w:t>1300</w:t>
            </w:r>
          </w:p>
        </w:tc>
        <w:tc>
          <w:tcPr>
            <w:tcW w:type="dxa" w:w="1234"/>
          </w:tcPr>
          <w:p>
            <w:r/>
            <w:r>
              <w:rPr>
                <w:sz w:val="18"/>
              </w:rPr>
              <w:t>yes</w:t>
            </w:r>
          </w:p>
        </w:tc>
      </w:tr>
    </w:tbl>
    <w:p/>
    <w:p>
      <w:r>
        <w:t>The table rewards a slow read. The explosive over-performers (Hamburg 9.7×, Amsterdam 7.1×, Antwerp 6.9×, Utrecht 5.7×, Ulm 5.2×) are ports and river towns of the Atlantic–North Sea world. The Roman-era giants tracked their benchmarks — and their charter entries need care. Cologne and Augsburg are inside the Städtebuch universe and record no formal charter bestowal: they held city status before formal charters became the instrument (Augsburg's civic constitution was already being confirmed under Barbarossa in 1152, and its famous Stadtbuch of 1276 codified existing law — the Städtebuch classes both under ‘city character prior to town charter’). Vienna and Basel, by contrast, are simply outside the source's coverage (‘n/c’) — their blank is missing data, not an absent charter. And privileges scatter across the whole range of outcomes: Mainz held charter and staple and finished at 0.5×; Nürnberg held a charter and finished at 4.2×; Augsburg, with no formal charter, finished at 1.9×. The residual — not the privilege list — is the quantity with structure in it.</w:t>
      </w:r>
    </w:p>
    <w:p>
      <w:pPr>
        <w:pStyle w:val="Heading1"/>
      </w:pPr>
      <w:r>
        <w:rPr>
          <w:color w:val="1A1A1A"/>
          <w:sz w:val="30"/>
        </w:rPr>
        <w:t>6. Step 4: Where the 1500 Hierarchy Came From</w:t>
      </w:r>
    </w:p>
    <w:p>
      <w:r>
        <w:t>If privileges did not build the hierarchy, what did? This section decomposes the variation in log city size in 1500 across candidate explanations. The candidates are not arbitrary; they are the four theories on the table at this point in the argument:</w:t>
      </w:r>
    </w:p>
    <w:p>
      <w:pPr>
        <w:pStyle w:val="ListBullet"/>
      </w:pPr>
      <w:r>
        <w:rPr>
          <w:b/>
        </w:rPr>
        <w:t xml:space="preserve">Inherited size — </w:t>
      </w:r>
      <w:r>
        <w:t>the path-dependence channel: a city's own size in 1200, at the start of the study window. Step 1 showed growth is unrelated to size, which makes early size a candidate to dominate by pure carry-forward.</w:t>
      </w:r>
    </w:p>
    <w:p>
      <w:pPr>
        <w:pStyle w:val="ListBullet"/>
      </w:pPr>
      <w:r>
        <w:rPr>
          <w:b/>
        </w:rPr>
        <w:t xml:space="preserve">Deep origin — </w:t>
      </w:r>
      <w:r>
        <w:t>its size already in 800 AD, the Carolingian era — the earliest layer the data supports. This separates medieval momentum from origins laid down before the Middle Ages (Roman roads, bishoprics, river fords).</w:t>
      </w:r>
    </w:p>
    <w:p>
      <w:pPr>
        <w:pStyle w:val="ListBullet"/>
      </w:pPr>
      <w:r>
        <w:rPr>
          <w:b/>
        </w:rPr>
        <w:t xml:space="preserve">First-nature geography — </w:t>
      </w:r>
      <w:r>
        <w:t>river and coastal access, sea basin, elevation — the ‘where it sits’ channel, which operates whether or not anyone grants anything.</w:t>
      </w:r>
    </w:p>
    <w:p>
      <w:pPr>
        <w:pStyle w:val="ListBullet"/>
      </w:pPr>
      <w:r>
        <w:rPr>
          <w:b/>
        </w:rPr>
        <w:t xml:space="preserve">Institutions — </w:t>
      </w:r>
      <w:r>
        <w:t>staple, fair, charter, and market rights held by 1500. Step 2 showed no growth break at their grants, but they stay in the race here as predictive markers — measured only on the subsample where their status is actually observable (§2), so that no false zeros dilute them and the unexplained remainder cannot be blamed on their omission.</w:t>
      </w:r>
    </w:p>
    <w:p>
      <w:r>
        <w:t>The decomposition proceeds in two transparent steps (Figure 6).</w:t>
      </w:r>
    </w:p>
    <w:p>
      <w:pPr>
        <w:pStyle w:val="Heading2"/>
      </w:pPr>
      <w:r>
        <w:rPr>
          <w:color w:val="333333"/>
          <w:sz w:val="24"/>
        </w:rPr>
        <w:t>6.1 Step one: the R² ladder</w:t>
      </w:r>
    </w:p>
    <w:p>
      <w:r>
        <w:t>First, ask how much of the variation in 1500 size each candidate explains on its own, by regressing log 1500 size on each block separately. Geography alone: 9%. Size in 800 alone: 40% (n = 551). Size in 1200 alone: 56% (n = 1,092). Geography + 800 + 1200 jointly: 69%. Institutions alone, on their observable universe: 24% (n = 222) — note that an uncorrected analysis, with every uncovered city miscounted as unprivileged, would put this at ~5%; honest coverage makes institutions look more predictive, not less, because the comparison pool is no longer polluted. Adding institutions to geography + 1200 size on that same universe lifts R² from 0.57 to 0.61.</w:t>
      </w:r>
    </w:p>
    <w:p>
      <w:pPr>
        <w:jc w:val="center"/>
      </w:pPr>
      <w:r>
        <w:drawing>
          <wp:inline xmlns:a="http://schemas.openxmlformats.org/drawingml/2006/main" xmlns:pic="http://schemas.openxmlformats.org/drawingml/2006/picture">
            <wp:extent cx="5577840" cy="2192642"/>
            <wp:docPr id="6" name="Picture 6"/>
            <wp:cNvGraphicFramePr>
              <a:graphicFrameLocks noChangeAspect="1"/>
            </wp:cNvGraphicFramePr>
            <a:graphic>
              <a:graphicData uri="http://schemas.openxmlformats.org/drawingml/2006/picture">
                <pic:pic>
                  <pic:nvPicPr>
                    <pic:cNvPr id="0" name="fig_decomp_build.png"/>
                    <pic:cNvPicPr/>
                  </pic:nvPicPr>
                  <pic:blipFill>
                    <a:blip r:embed="rId14"/>
                    <a:stretch>
                      <a:fillRect/>
                    </a:stretch>
                  </pic:blipFill>
                  <pic:spPr>
                    <a:xfrm>
                      <a:off x="0" y="0"/>
                      <a:ext cx="5577840" cy="2192642"/>
                    </a:xfrm>
                    <a:prstGeom prst="rect"/>
                  </pic:spPr>
                </pic:pic>
              </a:graphicData>
            </a:graphic>
          </wp:inline>
        </w:drawing>
      </w:r>
    </w:p>
    <w:p>
      <w:pPr>
        <w:jc w:val="center"/>
      </w:pPr>
      <w:r>
        <w:rPr>
          <w:i/>
          <w:sz w:val="18"/>
        </w:rPr>
        <w:t>Figure 6. Left: variance in 1500 city size explained by each candidate alone, then jointly (R²). Right: the Shapley split of the joint R² on the full sample (n = 551); the ~31% no model explains is shown in grey. Shares are descriptive splits of predictive R², not causal attributions.</w:t>
      </w:r>
    </w:p>
    <w:p>
      <w:pPr>
        <w:pStyle w:val="Heading2"/>
      </w:pPr>
      <w:r>
        <w:rPr>
          <w:color w:val="333333"/>
          <w:sz w:val="24"/>
        </w:rPr>
        <w:t>6.2 Step two: splitting shared credit fairly (Shapley)</w:t>
      </w:r>
    </w:p>
    <w:p>
      <w:r>
        <w:t>The solo numbers overlap: 9 + 40 + 56 sums to far more than the joint 69, because the candidates are correlated — cities big in 1200 tended to be big in 800, and both tend to sit on water. Whichever variable enters a regression first soaks up the shared credit. The Shapley decomposition (Shorrocks 1982; Israeli 2007) removes that arbitrariness: it computes each candidate's marginal contribution to R² under every possible order of entry and averages them. Nothing about the method favors any candidate — the same arithmetic that credits inherited size would have credited institutions, had the data pointed that way.</w:t>
      </w:r>
    </w:p>
    <w:p>
      <w:r>
        <w:t>The result on the full sample (n = 551), as shares of the total variance in 1500 size: inherited size (1200) 48%; deep origin (800) 19%; geography 2.6%; unexplained 31%. Institutions cannot enter this split honestly (their status is unobserved outside their sources' coverage), so they are bounded on the privilege-observable universe (n = 196): there, a three-way split gives inherited size 44 points of variance, institutions 12, geography 6, with 39 unexplained. The same exercise on the Europe-wide Bosker universe (n = 367, including the Italian and French commune belt) is strikingly parallel: inherited size 42 points, communal self-government 11, geography 4. Even taking these 11–12-point shares at face value, institutions are markers, not movers: Step 2 found no growth break at any of the six grants, and §8 shows they add little to actual forecasting accuracy. North and south of the Alps alike, the institution flags the kind of city that grows; it does not make cities grow.</w:t>
      </w:r>
    </w:p>
    <w:p>
      <w:r>
        <w:t>Two glosses keep the headline numbers honest. First, these are shares of predictive R² — a descriptive accounting of where the variance sits, not a causal attribution; nothing here says 46% of a city's 1500 population was 'caused by' its 1200 size. Second, geography's 2.6% is a conditional share: conditional on the size a city had already reached by 1200, measured geography adds only ~2.6 points of explanatory power. That is emphatically not the claim that geography barely mattered in creating the hierarchy. The 1200 sizes are themselves the cumulative product of centuries of geography acting through trade — Bosker, Buringh &amp; van Zanden's evidence that transport geography seeds cities is fully compatible with this result — so the small conditional share means geography's work was largely done and banked by 1200, its effects carried forward inside the inherited sizes. The decomposition separates 'still operating after 1200' from 'already embedded'; it cannot, and does not, measure geography's total historical contribution.</w:t>
      </w:r>
    </w:p>
    <w:p>
      <w:pPr>
        <w:pStyle w:val="Heading2"/>
      </w:pPr>
      <w:r>
        <w:rPr>
          <w:color w:val="333333"/>
          <w:sz w:val="24"/>
        </w:rPr>
        <w:t>6.3 Interrogating the unexplained 31%: weakly persistent, not proven luck</w:t>
      </w:r>
    </w:p>
    <w:p>
      <w:r>
        <w:t>A skeptical reader should ask two questions about the ~31%: is it factors I did not choose to include, and is it genuinely random? The evidence answers the first firmly and the second only partly — which is why this paper calls it ‘unexplained and weakly persistent variation’ rather than ‘luck.’</w:t>
      </w:r>
    </w:p>
    <w:p>
      <w:pPr>
        <w:pStyle w:val="ListBullet"/>
      </w:pPr>
      <w:r>
        <w:rPr>
          <w:b/>
        </w:rPr>
        <w:t xml:space="preserve">(i) </w:t>
      </w:r>
      <w:r>
        <w:t>It is not the institutions. On the universe where all four privilege statuses are observed, adding all four blocks to the geography-plus-size model moves the unexplained share from 43.3% to 38.9% — institutions were hiding about 4 points, not 30.</w:t>
      </w:r>
    </w:p>
    <w:p>
      <w:pPr>
        <w:pStyle w:val="ListBullet"/>
      </w:pPr>
      <w:r>
        <w:rPr>
          <w:b/>
        </w:rPr>
        <w:t xml:space="preserve">(ii) </w:t>
      </w:r>
      <w:r>
        <w:t>It is not any stable hidden factor. This is the sharp test. Any durable city trait omitted from the model — an entrepreneurial elite, a lucrative relic, an unusually able council — would push the same city above its benchmark century after century, making growth residuals persist. They do not: the correlation between a city's growth residual in one century and the next is −0.10 (1200s→1300s) and −0.16 (1300s→1400s).</w:t>
      </w:r>
    </w:p>
    <w:p>
      <w:pPr>
        <w:pStyle w:val="ListBullet"/>
      </w:pPr>
      <w:r>
        <w:rPr>
          <w:b/>
        </w:rPr>
        <w:t xml:space="preserve">(iii) </w:t>
      </w:r>
      <w:r>
        <w:t>But weak persistence does not prove randomness. Measurement error alone induces mean reversion (populations rounded to 1,000/2,000/4,000 steps create exactly the slight negative autocorrelation in (ii)), and genuinely systematic causes can be transient rather than permanent: a war, a fire, a banking boom, a rerouted trade artery need not repeat next century. The residual is therefore an upper bound on true historical luck, and a mixture in unknown proportions of transient real shocks — plagues, sieges, dynastic accidents, industry booms — and recording noise. What it is not, on the evidence of (i) and (ii), is a stable factor waiting to be measured.</w:t>
      </w:r>
    </w:p>
    <w:p>
      <w:r>
        <w:t>How deep does the path dependence run? Figure 7 traces the lock-in backward: a city's size in 800 AD — the age of Charlemagne — still explains 40% of its size in 1500, seven hundred years later. The urban map of the Holy Roman Empire in 1500 was, to a first approximation, drawn before the Middle Ages began.</w:t>
      </w:r>
    </w:p>
    <w:p>
      <w:pPr>
        <w:jc w:val="center"/>
      </w:pPr>
      <w:r>
        <w:drawing>
          <wp:inline xmlns:a="http://schemas.openxmlformats.org/drawingml/2006/main" xmlns:pic="http://schemas.openxmlformats.org/drawingml/2006/picture">
            <wp:extent cx="5577840" cy="3506071"/>
            <wp:docPr id="7" name="Picture 7"/>
            <wp:cNvGraphicFramePr>
              <a:graphicFrameLocks noChangeAspect="1"/>
            </wp:cNvGraphicFramePr>
            <a:graphic>
              <a:graphicData uri="http://schemas.openxmlformats.org/drawingml/2006/picture">
                <pic:pic>
                  <pic:nvPicPr>
                    <pic:cNvPr id="0" name="fig_persistence_depth.png"/>
                    <pic:cNvPicPr/>
                  </pic:nvPicPr>
                  <pic:blipFill>
                    <a:blip r:embed="rId15"/>
                    <a:stretch>
                      <a:fillRect/>
                    </a:stretch>
                  </pic:blipFill>
                  <pic:spPr>
                    <a:xfrm>
                      <a:off x="0" y="0"/>
                      <a:ext cx="5577840" cy="3506071"/>
                    </a:xfrm>
                    <a:prstGeom prst="rect"/>
                  </pic:spPr>
                </pic:pic>
              </a:graphicData>
            </a:graphic>
          </wp:inline>
        </w:drawing>
      </w:r>
    </w:p>
    <w:p>
      <w:pPr>
        <w:jc w:val="center"/>
      </w:pPr>
      <w:r>
        <w:rPr>
          <w:i/>
          <w:sz w:val="18"/>
        </w:rPr>
        <w:t>Figure 7. Depth of persistence: variance in 1500 size explained by size at each earlier date. Even 800 AD explains 40%.</w:t>
      </w:r>
    </w:p>
    <w:p>
      <w:r>
        <w:rPr>
          <w:b/>
        </w:rPr>
        <w:t xml:space="preserve">Finding 2: </w:t>
      </w:r>
      <w:r>
        <w:t>About two-thirds of a city's 1500 size was already determined by its own earlier size; no measured factor, and no stable unmeasured factor, accounts for more than a sliver of the rest; and the remainder is weakly persistent — transient shocks and measurement noise, with true luck as a large but not separately identified component.</w:t>
      </w:r>
    </w:p>
    <w:p>
      <w:pPr>
        <w:pStyle w:val="Heading1"/>
      </w:pPr>
      <w:r>
        <w:rPr>
          <w:color w:val="1A1A1A"/>
          <w:sz w:val="30"/>
        </w:rPr>
        <w:t>7. Step 5: Water — the One Lever Geography Still Pulled</w:t>
      </w:r>
    </w:p>
    <w:p>
      <w:r>
        <w:t>One geographic factor did keep moving cities after 1200: navigable water. Regressing 1200→1500 growth on water access (controlling for starting size), cities on a river or coast grew +0.143 log points more — about 15% larger by 1500, bootstrap 95% CI [+7%, +23%] — than comparable landlocked cities, roughly +5–6% per century compounding. Unlike privileges, this factor cannot be endogenous to success: a town cannot petition its way to the coast. Where the privilege gaps collapsed under the causal test, the water premium has nothing to collapse into — the geography was there first.</w:t>
      </w:r>
    </w:p>
    <w:p>
      <w:r>
        <w:t>The premium was not constant — it was switched on late. Figure 8 resolves the coastal premium by sea basin and century. In the plague century (1300–1400), coastal cities did worse, Mediterranean ports especially; after 1400, every basin turns strongly positive as long-distance trade reorganized around the Atlantic, North Sea, and Baltic. What the data show in reduced form: the cities that emerged from the plague-and-recovery window permanently larger were disproportionately on water (64% of winners vs 57% of losers; net 1300→1500 gain on water +0.084 log, p = 0.008, controlling for pre-plague size).</w:t>
      </w:r>
    </w:p>
    <w:p>
      <w:pPr>
        <w:jc w:val="center"/>
      </w:pPr>
      <w:r>
        <w:drawing>
          <wp:inline xmlns:a="http://schemas.openxmlformats.org/drawingml/2006/main" xmlns:pic="http://schemas.openxmlformats.org/drawingml/2006/picture">
            <wp:extent cx="5577840" cy="3129033"/>
            <wp:docPr id="8" name="Picture 8"/>
            <wp:cNvGraphicFramePr>
              <a:graphicFrameLocks noChangeAspect="1"/>
            </wp:cNvGraphicFramePr>
            <a:graphic>
              <a:graphicData uri="http://schemas.openxmlformats.org/drawingml/2006/picture">
                <pic:pic>
                  <pic:nvPicPr>
                    <pic:cNvPr id="0" name="fig_water_timing.png"/>
                    <pic:cNvPicPr/>
                  </pic:nvPicPr>
                  <pic:blipFill>
                    <a:blip r:embed="rId16"/>
                    <a:stretch>
                      <a:fillRect/>
                    </a:stretch>
                  </pic:blipFill>
                  <pic:spPr>
                    <a:xfrm>
                      <a:off x="0" y="0"/>
                      <a:ext cx="5577840" cy="3129033"/>
                    </a:xfrm>
                    <a:prstGeom prst="rect"/>
                  </pic:spPr>
                </pic:pic>
              </a:graphicData>
            </a:graphic>
          </wp:inline>
        </w:drawing>
      </w:r>
    </w:p>
    <w:p>
      <w:pPr>
        <w:jc w:val="center"/>
      </w:pPr>
      <w:r>
        <w:rPr>
          <w:i/>
          <w:sz w:val="18"/>
        </w:rPr>
        <w:t>Figure 8. The water premium by sea basin and century. Negative for Mediterranean ports in the plague century; strongly positive everywhere after 1400.</w:t>
      </w:r>
    </w:p>
    <w:p>
      <w:r>
        <w:t>This pattern is best read as an extension of Jedwab, Johnson &amp; Koyama, not a rival novelty: they establish that European cities recovered from the Black Death toward places with stronger fixed factors of production. The refinement offered here is that, within this Central European sample, the operative fixed factor was navigable water — the premium is concentrated in the recovery century and shows up in every basin — which ties their recovery mechanism to the specific geography that also dominates the over-performer list of §5.</w:t>
      </w:r>
    </w:p>
    <w:p>
      <w:pPr>
        <w:pStyle w:val="Heading2"/>
      </w:pPr>
      <w:r>
        <w:rPr>
          <w:color w:val="333333"/>
          <w:sz w:val="24"/>
        </w:rPr>
        <w:t>7.1 Testing the mechanism with plague-arrival data</w:t>
      </w:r>
    </w:p>
    <w:p>
      <w:r>
        <w:t>Maritime plague entry is the natural reading of the 1300s dip — Messina and Marseille were famously the disease's ports of entry — and rather than leave it as an assertion, it can be confronted with data: the Krauer &amp; Schmid digitization of Biraben's outbreak inventory supplies 338 geocoded, place-level outbreak records from the first wave (1347–1352), matched here to sample cities within 10 km. The test comes with a built-in health warning. Biraben's inventory is a chronicle compilation, not a census of outbreaks: absence of a record is weak evidence of absence, recording probability rises with a town's documentation density (the match-rate table in the appendix shows the Low Countries and Hungary at implausible zeros, a known undercoverage), and initial size is controlled throughout for exactly that reason.</w:t>
      </w:r>
    </w:p>
    <w:p>
      <w:r>
        <w:t>The results support the arrival leg of the mechanism and honestly fail to identify the rest (Figure 9). Arrival: coastal cities were 7 percentage points and river cities 6 points more likely to record a first-wave outbreak than landlocked cities of the same size (p = .02 and .001; 142 of 1,174 sample cities hit) — the wave demonstrably travelled the water network. Recorded arrival years, however, are indistinguishable across coastal, river, and landlocked cities (all ≈1348): at annual resolution over a five-year, continent-crossing wave, chronicle dates cannot rank who was struck first. Impact and recovery: a recorded hit does not predict slower 1300→1400 growth — the coefficient is actually positive, which is what selection on documentation produces (thriving towns keep better records) when a century grid averages the 1347–52 crash with fifty years of rebound; and the recovery-century hit×water interaction is positive but insignificant (+0.07, p = .47). The honest summary: the exposure geography of the Black Death confirms that water carried the shock, while the damage-and-rebound channel is not identifiable from chronicle records at century resolution — it would need annual population or mortality series.</w:t>
      </w:r>
    </w:p>
    <w:p>
      <w:pPr>
        <w:jc w:val="center"/>
      </w:pPr>
      <w:r>
        <w:drawing>
          <wp:inline xmlns:a="http://schemas.openxmlformats.org/drawingml/2006/main" xmlns:pic="http://schemas.openxmlformats.org/drawingml/2006/picture">
            <wp:extent cx="5577840" cy="2151286"/>
            <wp:docPr id="9" name="Picture 9"/>
            <wp:cNvGraphicFramePr>
              <a:graphicFrameLocks noChangeAspect="1"/>
            </wp:cNvGraphicFramePr>
            <a:graphic>
              <a:graphicData uri="http://schemas.openxmlformats.org/drawingml/2006/picture">
                <pic:pic>
                  <pic:nvPicPr>
                    <pic:cNvPr id="0" name="fig_plague_mechanism.png"/>
                    <pic:cNvPicPr/>
                  </pic:nvPicPr>
                  <pic:blipFill>
                    <a:blip r:embed="rId17"/>
                    <a:stretch>
                      <a:fillRect/>
                    </a:stretch>
                  </pic:blipFill>
                  <pic:spPr>
                    <a:xfrm>
                      <a:off x="0" y="0"/>
                      <a:ext cx="5577840" cy="2151286"/>
                    </a:xfrm>
                    <a:prstGeom prst="rect"/>
                  </pic:spPr>
                </pic:pic>
              </a:graphicData>
            </a:graphic>
          </wp:inline>
        </w:drawing>
      </w:r>
    </w:p>
    <w:p>
      <w:pPr>
        <w:jc w:val="center"/>
      </w:pPr>
      <w:r>
        <w:rPr>
          <w:i/>
          <w:sz w:val="18"/>
        </w:rPr>
        <w:t>Figure 9. The plague mechanism against arrival data (Biraben, first wave 1347–52). Left: water cities are significantly more likely to record an outbreak (size-controlled); arrival years do not discriminate. Right: century-resolution impact and recovery coefficients — the positive 'hit' coefficient reflects selection on documentation, not plague benefiting cities.</w:t>
      </w:r>
    </w:p>
    <w:p>
      <w:r>
        <w:t>This is also the pattern behind Figure 5 and Table 1: the over-performers were Atlantic and North Sea ports because water is where the residual structure lives — the one systematic escape from the implied-size benchmark.</w:t>
      </w:r>
    </w:p>
    <w:p>
      <w:pPr>
        <w:pStyle w:val="Heading1"/>
      </w:pPr>
      <w:r>
        <w:rPr>
          <w:color w:val="1A1A1A"/>
          <w:sz w:val="30"/>
        </w:rPr>
        <w:t>8. Step 6: One Equation — and How Well It Actually Predicts</w:t>
      </w:r>
    </w:p>
    <w:p>
      <w:r>
        <w:t>Steps 1–5 leave three moving parts: a city's own past size, water, and century-wide shocks. The natural summary is the growth regression itself, written as a law of motion. Pooling all 1200→1300, 1300→1400 and 1400→1500 transitions:</w:t>
      </w:r>
    </w:p>
    <w:p>
      <w:pPr>
        <w:jc w:val="center"/>
      </w:pPr>
      <w:r>
        <w:rPr>
          <w:rFonts w:ascii="Cambria Math" w:hAnsi="Cambria Math"/>
          <w:b/>
          <w:sz w:val="24"/>
        </w:rPr>
        <w:t>log P(i, t+1) = a(t) + 0.915 · log P(i, t) + 0.060 · water(i) + ε(i, t)</w:t>
      </w:r>
    </w:p>
    <w:p>
      <w:r>
        <w:rPr>
          <w:b/>
          <w:sz w:val="19"/>
        </w:rPr>
        <w:t>Table 2. The estimated law of motion, term by term.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term</w:t>
            </w:r>
          </w:p>
        </w:tc>
        <w:tc>
          <w:tcPr>
            <w:tcW w:type="dxa" w:w="2880"/>
          </w:tcPr>
          <w:p>
            <w:r/>
            <w:r>
              <w:rPr>
                <w:b/>
                <w:sz w:val="18"/>
              </w:rPr>
              <w:t>estimate</w:t>
            </w:r>
          </w:p>
        </w:tc>
        <w:tc>
          <w:tcPr>
            <w:tcW w:type="dxa" w:w="2880"/>
          </w:tcPr>
          <w:p>
            <w:r/>
            <w:r>
              <w:rPr>
                <w:b/>
                <w:sz w:val="18"/>
              </w:rPr>
              <w:t>meaning</w:t>
            </w:r>
          </w:p>
        </w:tc>
      </w:tr>
      <w:tr>
        <w:tc>
          <w:tcPr>
            <w:tcW w:type="dxa" w:w="2880"/>
          </w:tcPr>
          <w:p>
            <w:r/>
            <w:r>
              <w:rPr>
                <w:sz w:val="18"/>
              </w:rPr>
              <w:t>a(t): century shocks</w:t>
            </w:r>
          </w:p>
        </w:tc>
        <w:tc>
          <w:tcPr>
            <w:tcW w:type="dxa" w:w="2880"/>
          </w:tcPr>
          <w:p>
            <w:r/>
            <w:r>
              <w:rPr>
                <w:sz w:val="18"/>
              </w:rPr>
              <w:t>+0.88 (1200s), +0.35 (1300s), +1.03 (1400s)</w:t>
            </w:r>
          </w:p>
        </w:tc>
        <w:tc>
          <w:tcPr>
            <w:tcW w:type="dxa" w:w="2880"/>
          </w:tcPr>
          <w:p>
            <w:r/>
            <w:r>
              <w:rPr>
                <w:sz w:val="18"/>
              </w:rPr>
              <w:t>tides common to all cities: expansion, plague century, recovery boom</w:t>
            </w:r>
          </w:p>
        </w:tc>
      </w:tr>
      <w:tr>
        <w:tc>
          <w:tcPr>
            <w:tcW w:type="dxa" w:w="2880"/>
          </w:tcPr>
          <w:p>
            <w:r/>
            <w:r>
              <w:rPr>
                <w:sz w:val="18"/>
              </w:rPr>
              <w:t>persistence (0.915)</w:t>
            </w:r>
          </w:p>
        </w:tc>
        <w:tc>
          <w:tcPr>
            <w:tcW w:type="dxa" w:w="2880"/>
          </w:tcPr>
          <w:p>
            <w:r/>
            <w:r>
              <w:rPr>
                <w:sz w:val="18"/>
              </w:rPr>
              <w:t>0.915 per century</w:t>
            </w:r>
          </w:p>
        </w:tc>
        <w:tc>
          <w:tcPr>
            <w:tcW w:type="dxa" w:w="2880"/>
          </w:tcPr>
          <w:p>
            <w:r/>
            <w:r>
              <w:rPr>
                <w:sz w:val="18"/>
              </w:rPr>
              <w:t>a city next century ≈ its current size; deviations decay with a half-life of ~800 years</w:t>
            </w:r>
          </w:p>
        </w:tc>
      </w:tr>
      <w:tr>
        <w:tc>
          <w:tcPr>
            <w:tcW w:type="dxa" w:w="2880"/>
          </w:tcPr>
          <w:p>
            <w:r/>
            <w:r>
              <w:rPr>
                <w:sz w:val="18"/>
              </w:rPr>
              <w:t>water (0.060)</w:t>
            </w:r>
          </w:p>
        </w:tc>
        <w:tc>
          <w:tcPr>
            <w:tcW w:type="dxa" w:w="2880"/>
          </w:tcPr>
          <w:p>
            <w:r/>
            <w:r>
              <w:rPr>
                <w:sz w:val="18"/>
              </w:rPr>
              <w:t>+6% per century</w:t>
            </w:r>
          </w:p>
        </w:tc>
        <w:tc>
          <w:tcPr>
            <w:tcW w:type="dxa" w:w="2880"/>
          </w:tcPr>
          <w:p>
            <w:r/>
            <w:r>
              <w:rPr>
                <w:sz w:val="18"/>
              </w:rPr>
              <w:t>the steady geographic nudge from §7</w:t>
            </w:r>
          </w:p>
        </w:tc>
      </w:tr>
      <w:tr>
        <w:tc>
          <w:tcPr>
            <w:tcW w:type="dxa" w:w="2880"/>
          </w:tcPr>
          <w:p>
            <w:r/>
            <w:r>
              <w:rPr>
                <w:sz w:val="18"/>
              </w:rPr>
              <w:t>ε: noise, σ = 0.40</w:t>
            </w:r>
          </w:p>
        </w:tc>
        <w:tc>
          <w:tcPr>
            <w:tcW w:type="dxa" w:w="2880"/>
          </w:tcPr>
          <w:p>
            <w:r/>
            <w:r>
              <w:rPr>
                <w:sz w:val="18"/>
              </w:rPr>
              <w:t>σ = 0.403 log/century</w:t>
            </w:r>
          </w:p>
        </w:tc>
        <w:tc>
          <w:tcPr>
            <w:tcW w:type="dxa" w:w="2880"/>
          </w:tcPr>
          <w:p>
            <w:r/>
            <w:r>
              <w:rPr>
                <w:sz w:val="18"/>
              </w:rPr>
              <w:t>idiosyncratic shocks — 5× the size of the systematic pull (κ/σ = 0.21)</w:t>
            </w:r>
          </w:p>
        </w:tc>
      </w:tr>
    </w:tbl>
    <w:p/>
    <w:p>
      <w:r>
        <w:t>Nothing here is exotic — it is the regression from Step 1 with the water term from Step 5 and century intercepts, rearranged. The draft question any reader should ask is: does this equation actually predict city sizes, or is it a decoration? The test: hand the equation only the populations of 1200 and each city's water dummy, iterate it forward three centuries (no noise, no peeking), and compare the predicted 1500 against the actual 1500 for all 1,092 cities. Table 3 reports the accuracy alongside the benchmarks it has to beat.</w:t>
      </w:r>
    </w:p>
    <w:p>
      <w:r>
        <w:rPr>
          <w:b/>
          <w:sz w:val="19"/>
        </w:rPr>
        <w:t>Table 3. Prediction accuracy for 1500 city sizes. ‘Median miss’: median multiplicative error (×1.56 = typical prediction off by 56%). ‘Top-10 found’: how many of the ten largest actual cities of 1500 appear in the predicted top ten. Privileges are evaluated only on the cities where all four statuses are observable, against the equation on the same cities.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sz w:val="18"/>
              </w:rPr>
              <w:t>predictor of 1500 sizes (using only 1200 information)</w:t>
            </w:r>
          </w:p>
        </w:tc>
        <w:tc>
          <w:tcPr>
            <w:tcW w:type="dxa" w:w="1440"/>
          </w:tcPr>
          <w:p>
            <w:r/>
            <w:r>
              <w:rPr>
                <w:b/>
                <w:sz w:val="18"/>
              </w:rPr>
              <w:t>R² (log size)</w:t>
            </w:r>
          </w:p>
        </w:tc>
        <w:tc>
          <w:tcPr>
            <w:tcW w:type="dxa" w:w="1440"/>
          </w:tcPr>
          <w:p>
            <w:r/>
            <w:r>
              <w:rPr>
                <w:b/>
                <w:sz w:val="18"/>
              </w:rPr>
              <w:t>rank corr.</w:t>
            </w:r>
          </w:p>
        </w:tc>
        <w:tc>
          <w:tcPr>
            <w:tcW w:type="dxa" w:w="1440"/>
          </w:tcPr>
          <w:p>
            <w:r/>
            <w:r>
              <w:rPr>
                <w:b/>
                <w:sz w:val="18"/>
              </w:rPr>
              <w:t>median miss</w:t>
            </w:r>
          </w:p>
        </w:tc>
        <w:tc>
          <w:tcPr>
            <w:tcW w:type="dxa" w:w="1440"/>
          </w:tcPr>
          <w:p>
            <w:r/>
            <w:r>
              <w:rPr>
                <w:b/>
                <w:sz w:val="18"/>
              </w:rPr>
              <w:t>within ×2</w:t>
            </w:r>
          </w:p>
        </w:tc>
        <w:tc>
          <w:tcPr>
            <w:tcW w:type="dxa" w:w="1440"/>
          </w:tcPr>
          <w:p>
            <w:r/>
            <w:r>
              <w:rPr>
                <w:b/>
                <w:sz w:val="18"/>
              </w:rPr>
              <w:t>top-10 found</w:t>
            </w:r>
          </w:p>
        </w:tc>
      </w:tr>
      <w:tr>
        <w:tc>
          <w:tcPr>
            <w:tcW w:type="dxa" w:w="1440"/>
          </w:tcPr>
          <w:p>
            <w:r/>
            <w:r>
              <w:rPr>
                <w:sz w:val="18"/>
              </w:rPr>
              <w:t>guess the sample average for every city</w:t>
            </w:r>
          </w:p>
        </w:tc>
        <w:tc>
          <w:tcPr>
            <w:tcW w:type="dxa" w:w="1440"/>
          </w:tcPr>
          <w:p>
            <w:r/>
            <w:r>
              <w:rPr>
                <w:sz w:val="18"/>
              </w:rPr>
              <w:t>0.00</w:t>
            </w:r>
          </w:p>
        </w:tc>
        <w:tc>
          <w:tcPr>
            <w:tcW w:type="dxa" w:w="1440"/>
          </w:tcPr>
          <w:p>
            <w:r/>
            <w:r>
              <w:rPr>
                <w:sz w:val="18"/>
              </w:rPr>
              <w:t>—</w:t>
            </w:r>
          </w:p>
        </w:tc>
        <w:tc>
          <w:tcPr>
            <w:tcW w:type="dxa" w:w="1440"/>
          </w:tcPr>
          <w:p>
            <w:r/>
            <w:r>
              <w:rPr>
                <w:sz w:val="18"/>
              </w:rPr>
              <w:t>×1.63</w:t>
            </w:r>
          </w:p>
        </w:tc>
        <w:tc>
          <w:tcPr>
            <w:tcW w:type="dxa" w:w="1440"/>
          </w:tcPr>
          <w:p>
            <w:r/>
            <w:r>
              <w:rPr>
                <w:sz w:val="18"/>
              </w:rPr>
              <w:t>62%</w:t>
            </w:r>
          </w:p>
        </w:tc>
        <w:tc>
          <w:tcPr>
            <w:tcW w:type="dxa" w:w="1440"/>
          </w:tcPr>
          <w:p>
            <w:r/>
            <w:r>
              <w:rPr>
                <w:sz w:val="18"/>
              </w:rPr>
              <w:t>0/10</w:t>
            </w:r>
          </w:p>
        </w:tc>
      </w:tr>
      <w:tr>
        <w:tc>
          <w:tcPr>
            <w:tcW w:type="dxa" w:w="1440"/>
          </w:tcPr>
          <w:p>
            <w:r/>
            <w:r>
              <w:rPr>
                <w:sz w:val="18"/>
              </w:rPr>
              <w:t>frozen map: predict 1500 size = 1200 size</w:t>
            </w:r>
          </w:p>
        </w:tc>
        <w:tc>
          <w:tcPr>
            <w:tcW w:type="dxa" w:w="1440"/>
          </w:tcPr>
          <w:p>
            <w:r/>
            <w:r>
              <w:rPr>
                <w:sz w:val="18"/>
              </w:rPr>
              <w:t>0.39</w:t>
            </w:r>
          </w:p>
        </w:tc>
        <w:tc>
          <w:tcPr>
            <w:tcW w:type="dxa" w:w="1440"/>
          </w:tcPr>
          <w:p>
            <w:r/>
            <w:r>
              <w:rPr>
                <w:sz w:val="18"/>
              </w:rPr>
              <w:t>0.69</w:t>
            </w:r>
          </w:p>
        </w:tc>
        <w:tc>
          <w:tcPr>
            <w:tcW w:type="dxa" w:w="1440"/>
          </w:tcPr>
          <w:p>
            <w:r/>
            <w:r>
              <w:rPr>
                <w:sz w:val="18"/>
              </w:rPr>
              <w:t>×1.50</w:t>
            </w:r>
          </w:p>
        </w:tc>
        <w:tc>
          <w:tcPr>
            <w:tcW w:type="dxa" w:w="1440"/>
          </w:tcPr>
          <w:p>
            <w:r/>
            <w:r>
              <w:rPr>
                <w:sz w:val="18"/>
              </w:rPr>
              <w:t>60%</w:t>
            </w:r>
          </w:p>
        </w:tc>
        <w:tc>
          <w:tcPr>
            <w:tcW w:type="dxa" w:w="1440"/>
          </w:tcPr>
          <w:p>
            <w:r/>
            <w:r>
              <w:rPr>
                <w:sz w:val="18"/>
              </w:rPr>
              <w:t>8/10</w:t>
            </w:r>
          </w:p>
        </w:tc>
      </w:tr>
      <w:tr>
        <w:tc>
          <w:tcPr>
            <w:tcW w:type="dxa" w:w="1440"/>
          </w:tcPr>
          <w:p>
            <w:r/>
            <w:r>
              <w:rPr>
                <w:sz w:val="18"/>
              </w:rPr>
              <w:t>the equation, without the water term</w:t>
            </w:r>
          </w:p>
        </w:tc>
        <w:tc>
          <w:tcPr>
            <w:tcW w:type="dxa" w:w="1440"/>
          </w:tcPr>
          <w:p>
            <w:r/>
            <w:r>
              <w:rPr>
                <w:sz w:val="18"/>
              </w:rPr>
              <w:t>0.55</w:t>
            </w:r>
          </w:p>
        </w:tc>
        <w:tc>
          <w:tcPr>
            <w:tcW w:type="dxa" w:w="1440"/>
          </w:tcPr>
          <w:p>
            <w:r/>
            <w:r>
              <w:rPr>
                <w:sz w:val="18"/>
              </w:rPr>
              <w:t>0.69</w:t>
            </w:r>
          </w:p>
        </w:tc>
        <w:tc>
          <w:tcPr>
            <w:tcW w:type="dxa" w:w="1440"/>
          </w:tcPr>
          <w:p>
            <w:r/>
            <w:r>
              <w:rPr>
                <w:sz w:val="18"/>
              </w:rPr>
              <w:t>×1.49</w:t>
            </w:r>
          </w:p>
        </w:tc>
        <w:tc>
          <w:tcPr>
            <w:tcW w:type="dxa" w:w="1440"/>
          </w:tcPr>
          <w:p>
            <w:r/>
            <w:r>
              <w:rPr>
                <w:sz w:val="18"/>
              </w:rPr>
              <w:t>80%</w:t>
            </w:r>
          </w:p>
        </w:tc>
        <w:tc>
          <w:tcPr>
            <w:tcW w:type="dxa" w:w="1440"/>
          </w:tcPr>
          <w:p>
            <w:r/>
            <w:r>
              <w:rPr>
                <w:sz w:val="18"/>
              </w:rPr>
              <w:t>8/10</w:t>
            </w:r>
          </w:p>
        </w:tc>
      </w:tr>
      <w:tr>
        <w:tc>
          <w:tcPr>
            <w:tcW w:type="dxa" w:w="1440"/>
          </w:tcPr>
          <w:p>
            <w:r/>
            <w:r>
              <w:rPr>
                <w:sz w:val="18"/>
              </w:rPr>
              <w:t>the equation</w:t>
            </w:r>
          </w:p>
        </w:tc>
        <w:tc>
          <w:tcPr>
            <w:tcW w:type="dxa" w:w="1440"/>
          </w:tcPr>
          <w:p>
            <w:r/>
            <w:r>
              <w:rPr>
                <w:sz w:val="18"/>
              </w:rPr>
              <w:t>0.56</w:t>
            </w:r>
          </w:p>
        </w:tc>
        <w:tc>
          <w:tcPr>
            <w:tcW w:type="dxa" w:w="1440"/>
          </w:tcPr>
          <w:p>
            <w:r/>
            <w:r>
              <w:rPr>
                <w:sz w:val="18"/>
              </w:rPr>
              <w:t>0.69</w:t>
            </w:r>
          </w:p>
        </w:tc>
        <w:tc>
          <w:tcPr>
            <w:tcW w:type="dxa" w:w="1440"/>
          </w:tcPr>
          <w:p>
            <w:r/>
            <w:r>
              <w:rPr>
                <w:sz w:val="18"/>
              </w:rPr>
              <w:t>×1.56</w:t>
            </w:r>
          </w:p>
        </w:tc>
        <w:tc>
          <w:tcPr>
            <w:tcW w:type="dxa" w:w="1440"/>
          </w:tcPr>
          <w:p>
            <w:r/>
            <w:r>
              <w:rPr>
                <w:sz w:val="18"/>
              </w:rPr>
              <w:t>81%</w:t>
            </w:r>
          </w:p>
        </w:tc>
        <w:tc>
          <w:tcPr>
            <w:tcW w:type="dxa" w:w="1440"/>
          </w:tcPr>
          <w:p>
            <w:r/>
            <w:r>
              <w:rPr>
                <w:sz w:val="18"/>
              </w:rPr>
              <w:t>8/10</w:t>
            </w:r>
          </w:p>
        </w:tc>
      </w:tr>
      <w:tr>
        <w:tc>
          <w:tcPr>
            <w:tcW w:type="dxa" w:w="1440"/>
          </w:tcPr>
          <w:p>
            <w:r/>
            <w:r>
              <w:rPr>
                <w:sz w:val="18"/>
              </w:rPr>
              <w:t>the equation, privilege-universe cities only (n = 196)</w:t>
            </w:r>
          </w:p>
        </w:tc>
        <w:tc>
          <w:tcPr>
            <w:tcW w:type="dxa" w:w="1440"/>
          </w:tcPr>
          <w:p>
            <w:r/>
            <w:r>
              <w:rPr>
                <w:sz w:val="18"/>
              </w:rPr>
              <w:t>0.51</w:t>
            </w:r>
          </w:p>
        </w:tc>
        <w:tc>
          <w:tcPr>
            <w:tcW w:type="dxa" w:w="1440"/>
          </w:tcPr>
          <w:p>
            <w:r/>
            <w:r>
              <w:rPr>
                <w:sz w:val="18"/>
              </w:rPr>
              <w:t>0.66</w:t>
            </w:r>
          </w:p>
        </w:tc>
        <w:tc>
          <w:tcPr>
            <w:tcW w:type="dxa" w:w="1440"/>
          </w:tcPr>
          <w:p>
            <w:r/>
            <w:r>
              <w:rPr>
                <w:sz w:val="18"/>
              </w:rPr>
              <w:t>×1.60</w:t>
            </w:r>
          </w:p>
        </w:tc>
        <w:tc>
          <w:tcPr>
            <w:tcW w:type="dxa" w:w="1440"/>
          </w:tcPr>
          <w:p>
            <w:r/>
            <w:r>
              <w:rPr>
                <w:sz w:val="18"/>
              </w:rPr>
              <w:t>80%</w:t>
            </w:r>
          </w:p>
        </w:tc>
        <w:tc>
          <w:tcPr>
            <w:tcW w:type="dxa" w:w="1440"/>
          </w:tcPr>
          <w:p>
            <w:r/>
            <w:r>
              <w:rPr>
                <w:sz w:val="18"/>
              </w:rPr>
              <w:t>5/10</w:t>
            </w:r>
          </w:p>
        </w:tc>
      </w:tr>
      <w:tr>
        <w:tc>
          <w:tcPr>
            <w:tcW w:type="dxa" w:w="1440"/>
          </w:tcPr>
          <w:p>
            <w:r/>
            <w:r>
              <w:rPr>
                <w:sz w:val="18"/>
              </w:rPr>
              <w:t>the equation + all four privileges (same 196 cities)</w:t>
            </w:r>
          </w:p>
        </w:tc>
        <w:tc>
          <w:tcPr>
            <w:tcW w:type="dxa" w:w="1440"/>
          </w:tcPr>
          <w:p>
            <w:r/>
            <w:r>
              <w:rPr>
                <w:sz w:val="18"/>
              </w:rPr>
              <w:t>0.55</w:t>
            </w:r>
          </w:p>
        </w:tc>
        <w:tc>
          <w:tcPr>
            <w:tcW w:type="dxa" w:w="1440"/>
          </w:tcPr>
          <w:p>
            <w:r/>
            <w:r>
              <w:rPr>
                <w:sz w:val="18"/>
              </w:rPr>
              <w:t>0.69</w:t>
            </w:r>
          </w:p>
        </w:tc>
        <w:tc>
          <w:tcPr>
            <w:tcW w:type="dxa" w:w="1440"/>
          </w:tcPr>
          <w:p>
            <w:r/>
            <w:r>
              <w:rPr>
                <w:sz w:val="18"/>
              </w:rPr>
              <w:t>×1.63</w:t>
            </w:r>
          </w:p>
        </w:tc>
        <w:tc>
          <w:tcPr>
            <w:tcW w:type="dxa" w:w="1440"/>
          </w:tcPr>
          <w:p>
            <w:r/>
            <w:r>
              <w:rPr>
                <w:sz w:val="18"/>
              </w:rPr>
              <w:t>78%</w:t>
            </w:r>
          </w:p>
        </w:tc>
        <w:tc>
          <w:tcPr>
            <w:tcW w:type="dxa" w:w="1440"/>
          </w:tcPr>
          <w:p>
            <w:r/>
            <w:r>
              <w:rPr>
                <w:sz w:val="18"/>
              </w:rPr>
              <w:t>6/10</w:t>
            </w:r>
          </w:p>
        </w:tc>
      </w:tr>
    </w:tbl>
    <w:p/>
    <w:p>
      <w:r>
        <w:t>Three readings. First, the equation predicts the hierarchy well: R² = 0.56 on log sizes, 81% of cities within a factor of two, and eight of the ten largest cities of 1500 correctly identified from 1200 data alone (it misses Florence — whose banking-driven surge is exactly the kind of idiosyncratic rise the law calls noise — and Bordeaux). Second, this is not city-level overfitting: refitting the law on a random half of the cities and predicting the other half, 200 times over, gives out-of-sample R² = 0.557 [0.508, 0.605] — identical to in-sample. Third, privileges carry modest predictive content as markers — about four points of R² on the cities where they are measured (0.51 → 0.55), consistent with their Shapley share in §6 — but they do not materially improve identification of the top tier, and Step 2 showed this content is selection, not treatment: the badge predicts because it was pinned on winners.</w:t>
      </w:r>
    </w:p>
    <w:p>
      <w:pPr>
        <w:jc w:val="center"/>
      </w:pPr>
      <w:r>
        <w:drawing>
          <wp:inline xmlns:a="http://schemas.openxmlformats.org/drawingml/2006/main" xmlns:pic="http://schemas.openxmlformats.org/drawingml/2006/picture">
            <wp:extent cx="5577840" cy="2388885"/>
            <wp:docPr id="10" name="Picture 10"/>
            <wp:cNvGraphicFramePr>
              <a:graphicFrameLocks noChangeAspect="1"/>
            </wp:cNvGraphicFramePr>
            <a:graphic>
              <a:graphicData uri="http://schemas.openxmlformats.org/drawingml/2006/picture">
                <pic:pic>
                  <pic:nvPicPr>
                    <pic:cNvPr id="0" name="fig_prediction.png"/>
                    <pic:cNvPicPr/>
                  </pic:nvPicPr>
                  <pic:blipFill>
                    <a:blip r:embed="rId18"/>
                    <a:stretch>
                      <a:fillRect/>
                    </a:stretch>
                  </pic:blipFill>
                  <pic:spPr>
                    <a:xfrm>
                      <a:off x="0" y="0"/>
                      <a:ext cx="5577840" cy="2388885"/>
                    </a:xfrm>
                    <a:prstGeom prst="rect"/>
                  </pic:spPr>
                </pic:pic>
              </a:graphicData>
            </a:graphic>
          </wp:inline>
        </w:drawing>
      </w:r>
    </w:p>
    <w:p>
      <w:pPr>
        <w:jc w:val="center"/>
      </w:pPr>
      <w:r>
        <w:rPr>
          <w:i/>
          <w:sz w:val="18"/>
        </w:rPr>
        <w:t>Figure 10. Left: 1500 sizes predicted by the equation from 1200 data versus actual 1500 sizes (R² = 0.56; dashed line = perfect prediction). Right: the same equation's predicted versus actual growth (R² = 0.02).</w:t>
      </w:r>
    </w:p>
    <w:p>
      <w:r>
        <w:t>The right panel of Figure 10 is the other half of the finding. Asked to predict growth — which cities would rise or fall relative to their start — the same equation manages R² = 0.02. There is no contradiction: position is predictable because it is inherited; movement is unpredictable because the noise term (σ = 0.40) dwarfs the systematic pull. Both facts are the finding. Any book promising the recipe that made particular cities surge is fitting stories to what the data says is mostly a random draw; meanwhile the boring regularity — tomorrow's map ≈ today's map plus a water tilt — predicts remarkably well.</w:t>
      </w:r>
    </w:p>
    <w:p>
      <w:pPr>
        <w:pStyle w:val="Heading2"/>
      </w:pPr>
      <w:r>
        <w:rPr>
          <w:color w:val="333333"/>
          <w:sz w:val="24"/>
        </w:rPr>
        <w:t>8.1 A stricter test: coefficients locked before 1200</w:t>
      </w:r>
    </w:p>
    <w:p>
      <w:r>
        <w:t>The headline exercise above still contains a subtle temporal leak, and a referee should catch it: the features are 1200-vintage, but the coefficients were estimated on the 1200→1500 transitions themselves — the fit has seen the outcomes it predicts, and splitting cities into halves protects only against city-level overfitting, not against that. Buringh reaches far enough back to close the leak properly: estimate the law solely on the 800→900, 900→1000, 1000→1100 and 1100→1200 transitions (2,965 city-century transitions), lock every coefficient, and only then iterate forward from 1200. The pre-1200 world yields nearly the same law — persistence 0.973, water +0.045 per century — and Table 4 shows what it forecasts.</w:t>
      </w:r>
    </w:p>
    <w:p>
      <w:r>
        <w:rPr>
          <w:b/>
          <w:sz w:val="19"/>
        </w:rPr>
        <w:t>Table 4. The no-leakage forecast: every coefficient estimated on 800–1200 transitions only, then iterated 1200→1500. The ‘level correction’ is a single scalar shift applied to all cities — it cannot reorder the hierarchy.</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sz w:val="18"/>
              </w:rPr>
              <w:t>predictor (trained only on 700–1200 data)</w:t>
            </w:r>
          </w:p>
        </w:tc>
        <w:tc>
          <w:tcPr>
            <w:tcW w:type="dxa" w:w="1440"/>
          </w:tcPr>
          <w:p>
            <w:r/>
            <w:r>
              <w:rPr>
                <w:b/>
                <w:sz w:val="18"/>
              </w:rPr>
              <w:t>R² (log size)</w:t>
            </w:r>
          </w:p>
        </w:tc>
        <w:tc>
          <w:tcPr>
            <w:tcW w:type="dxa" w:w="1440"/>
          </w:tcPr>
          <w:p>
            <w:r/>
            <w:r>
              <w:rPr>
                <w:b/>
                <w:sz w:val="18"/>
              </w:rPr>
              <w:t>rank corr.</w:t>
            </w:r>
          </w:p>
        </w:tc>
        <w:tc>
          <w:tcPr>
            <w:tcW w:type="dxa" w:w="1440"/>
          </w:tcPr>
          <w:p>
            <w:r/>
            <w:r>
              <w:rPr>
                <w:b/>
                <w:sz w:val="18"/>
              </w:rPr>
              <w:t>median miss</w:t>
            </w:r>
          </w:p>
        </w:tc>
        <w:tc>
          <w:tcPr>
            <w:tcW w:type="dxa" w:w="1440"/>
          </w:tcPr>
          <w:p>
            <w:r/>
            <w:r>
              <w:rPr>
                <w:b/>
                <w:sz w:val="18"/>
              </w:rPr>
              <w:t>within ×2</w:t>
            </w:r>
          </w:p>
        </w:tc>
        <w:tc>
          <w:tcPr>
            <w:tcW w:type="dxa" w:w="1440"/>
          </w:tcPr>
          <w:p>
            <w:r/>
            <w:r>
              <w:rPr>
                <w:b/>
                <w:sz w:val="18"/>
              </w:rPr>
              <w:t>top-10 found</w:t>
            </w:r>
          </w:p>
        </w:tc>
      </w:tr>
      <w:tr>
        <w:tc>
          <w:tcPr>
            <w:tcW w:type="dxa" w:w="1440"/>
          </w:tcPr>
          <w:p>
            <w:r/>
            <w:r>
              <w:rPr>
                <w:sz w:val="18"/>
              </w:rPr>
              <w:t>pre-1200 law, strict ex-ante</w:t>
            </w:r>
          </w:p>
        </w:tc>
        <w:tc>
          <w:tcPr>
            <w:tcW w:type="dxa" w:w="1440"/>
          </w:tcPr>
          <w:p>
            <w:r/>
            <w:r>
              <w:rPr>
                <w:sz w:val="18"/>
              </w:rPr>
              <w:t>0.50</w:t>
            </w:r>
          </w:p>
        </w:tc>
        <w:tc>
          <w:tcPr>
            <w:tcW w:type="dxa" w:w="1440"/>
          </w:tcPr>
          <w:p>
            <w:r/>
            <w:r>
              <w:rPr>
                <w:sz w:val="18"/>
              </w:rPr>
              <w:t>0.69</w:t>
            </w:r>
          </w:p>
        </w:tc>
        <w:tc>
          <w:tcPr>
            <w:tcW w:type="dxa" w:w="1440"/>
          </w:tcPr>
          <w:p>
            <w:r/>
            <w:r>
              <w:rPr>
                <w:sz w:val="18"/>
              </w:rPr>
              <w:t>×1.68</w:t>
            </w:r>
          </w:p>
        </w:tc>
        <w:tc>
          <w:tcPr>
            <w:tcW w:type="dxa" w:w="1440"/>
          </w:tcPr>
          <w:p>
            <w:r/>
            <w:r>
              <w:rPr>
                <w:sz w:val="18"/>
              </w:rPr>
              <w:t>76%</w:t>
            </w:r>
          </w:p>
        </w:tc>
        <w:tc>
          <w:tcPr>
            <w:tcW w:type="dxa" w:w="1440"/>
          </w:tcPr>
          <w:p>
            <w:r/>
            <w:r>
              <w:rPr>
                <w:sz w:val="18"/>
              </w:rPr>
              <w:t>8/10</w:t>
            </w:r>
          </w:p>
        </w:tc>
      </w:tr>
      <w:tr>
        <w:tc>
          <w:tcPr>
            <w:tcW w:type="dxa" w:w="1440"/>
          </w:tcPr>
          <w:p>
            <w:r/>
            <w:r>
              <w:rPr>
                <w:sz w:val="18"/>
              </w:rPr>
              <w:t>pre-1200 law + one overall level correction</w:t>
            </w:r>
          </w:p>
        </w:tc>
        <w:tc>
          <w:tcPr>
            <w:tcW w:type="dxa" w:w="1440"/>
          </w:tcPr>
          <w:p>
            <w:r/>
            <w:r>
              <w:rPr>
                <w:sz w:val="18"/>
              </w:rPr>
              <w:t>0.56</w:t>
            </w:r>
          </w:p>
        </w:tc>
        <w:tc>
          <w:tcPr>
            <w:tcW w:type="dxa" w:w="1440"/>
          </w:tcPr>
          <w:p>
            <w:r/>
            <w:r>
              <w:rPr>
                <w:sz w:val="18"/>
              </w:rPr>
              <w:t>0.69</w:t>
            </w:r>
          </w:p>
        </w:tc>
        <w:tc>
          <w:tcPr>
            <w:tcW w:type="dxa" w:w="1440"/>
          </w:tcPr>
          <w:p>
            <w:r/>
            <w:r>
              <w:rPr>
                <w:sz w:val="18"/>
              </w:rPr>
              <w:t>×1.42</w:t>
            </w:r>
          </w:p>
        </w:tc>
        <w:tc>
          <w:tcPr>
            <w:tcW w:type="dxa" w:w="1440"/>
          </w:tcPr>
          <w:p>
            <w:r/>
            <w:r>
              <w:rPr>
                <w:sz w:val="18"/>
              </w:rPr>
              <w:t>81%</w:t>
            </w:r>
          </w:p>
        </w:tc>
        <w:tc>
          <w:tcPr>
            <w:tcW w:type="dxa" w:w="1440"/>
          </w:tcPr>
          <w:p>
            <w:r/>
            <w:r>
              <w:rPr>
                <w:sz w:val="18"/>
              </w:rPr>
              <w:t>8/10</w:t>
            </w:r>
          </w:p>
        </w:tc>
      </w:tr>
      <w:tr>
        <w:tc>
          <w:tcPr>
            <w:tcW w:type="dxa" w:w="1440"/>
          </w:tcPr>
          <w:p>
            <w:r/>
            <w:r>
              <w:rPr>
                <w:sz w:val="18"/>
              </w:rPr>
              <w:t>pre-1200 gradient boosting, strict ex-ante</w:t>
            </w:r>
          </w:p>
        </w:tc>
        <w:tc>
          <w:tcPr>
            <w:tcW w:type="dxa" w:w="1440"/>
          </w:tcPr>
          <w:p>
            <w:r/>
            <w:r>
              <w:rPr>
                <w:sz w:val="18"/>
              </w:rPr>
              <w:t>0.34</w:t>
            </w:r>
          </w:p>
        </w:tc>
        <w:tc>
          <w:tcPr>
            <w:tcW w:type="dxa" w:w="1440"/>
          </w:tcPr>
          <w:p>
            <w:r/>
            <w:r>
              <w:rPr>
                <w:sz w:val="18"/>
              </w:rPr>
              <w:t>0.69</w:t>
            </w:r>
          </w:p>
        </w:tc>
        <w:tc>
          <w:tcPr>
            <w:tcW w:type="dxa" w:w="1440"/>
          </w:tcPr>
          <w:p>
            <w:r/>
            <w:r>
              <w:rPr>
                <w:sz w:val="18"/>
              </w:rPr>
              <w:t>×1.57</w:t>
            </w:r>
          </w:p>
        </w:tc>
        <w:tc>
          <w:tcPr>
            <w:tcW w:type="dxa" w:w="1440"/>
          </w:tcPr>
          <w:p>
            <w:r/>
            <w:r>
              <w:rPr>
                <w:sz w:val="18"/>
              </w:rPr>
              <w:t>66%</w:t>
            </w:r>
          </w:p>
        </w:tc>
        <w:tc>
          <w:tcPr>
            <w:tcW w:type="dxa" w:w="1440"/>
          </w:tcPr>
          <w:p>
            <w:r/>
            <w:r>
              <w:rPr>
                <w:sz w:val="18"/>
              </w:rPr>
              <w:t>0/10</w:t>
            </w:r>
          </w:p>
        </w:tc>
      </w:tr>
    </w:tbl>
    <w:p/>
    <w:p>
      <w:r>
        <w:t>The strict forecast under-predicts the overall level (mean error −0.23 log): the centuries after 1200 were collectively faster than those before, and a law trained before 1200 cannot know that. But a common level miss shifts every city equally — it costs level-R² while leaving the predicted hierarchy untouched, which is why the rank correlation (0.69) and the top-10 identification (8/10) exactly match the within-window fit, and why one overall scalar restores R² = 0.56. The 1500 hierarchy was predictable not merely from 1200 data, but from the growth regime of the pre-1200 world. (A gradient booster trained on the same pre-1200 transitions degrades badly out of its training range — trees cannot extrapolate levels — which is itself evidence that the linear persistence-plus-water structure, not model flexibility, carries the forecast.)</w:t>
      </w:r>
    </w:p>
    <w:p>
      <w:pPr>
        <w:pStyle w:val="Heading2"/>
      </w:pPr>
      <w:r>
        <w:rPr>
          <w:color w:val="333333"/>
          <w:sz w:val="24"/>
        </w:rPr>
        <w:t>8.2 Is 0.56 high or low? The information ceiling</w:t>
      </w:r>
    </w:p>
    <w:p>
      <w:r>
        <w:t>An R² of 0.56 invites the objection: barely more than half the variation — surely a better model could do better? The objection assumes the missing 44% is signal waiting for a cleverer specification. That is testable. I gave flexible machine-learning models (random forest, gradient boosting) every scrap of 1200-vintage information in the data — size in 1200, size in 800, coordinates, elevation, river, coast, sea basin, every privilege already granted by 1200, and the coverage flags themselves — and measured out-of-sample accuracy two ways: ordinary five-fold CV over cities, and spatially blocked CV (whole 2°×2° map cells held out together), so that raw coordinates cannot let the trees simply recognise a region and recall how big its cities ended up. Table 5 is the result.</w:t>
      </w:r>
    </w:p>
    <w:p>
      <w:r>
        <w:rPr>
          <w:b/>
          <w:sz w:val="19"/>
        </w:rPr>
        <w:t>Table 5. The information ceiling. No model, however flexible, extracts much more from 1200-vintage information than the 3-parameter law already does — and the flexible models' small edge shrinks further once cross-validation is spatially blocked.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model, all restricted to information available in 1200</w:t>
            </w:r>
          </w:p>
        </w:tc>
        <w:tc>
          <w:tcPr>
            <w:tcW w:type="dxa" w:w="2880"/>
          </w:tcPr>
          <w:p>
            <w:r/>
            <w:r>
              <w:rPr>
                <w:b/>
                <w:sz w:val="18"/>
              </w:rPr>
              <w:t>random 5-fold R²</w:t>
            </w:r>
          </w:p>
        </w:tc>
        <w:tc>
          <w:tcPr>
            <w:tcW w:type="dxa" w:w="2880"/>
          </w:tcPr>
          <w:p>
            <w:r/>
            <w:r>
              <w:rPr>
                <w:b/>
                <w:sz w:val="18"/>
              </w:rPr>
              <w:t>spatially blocked R²</w:t>
            </w:r>
          </w:p>
        </w:tc>
      </w:tr>
      <w:tr>
        <w:tc>
          <w:tcPr>
            <w:tcW w:type="dxa" w:w="2880"/>
          </w:tcPr>
          <w:p>
            <w:r/>
            <w:r>
              <w:rPr>
                <w:sz w:val="18"/>
              </w:rPr>
              <w:t>the 3-parameter law (size + water + shocks)</w:t>
            </w:r>
          </w:p>
        </w:tc>
        <w:tc>
          <w:tcPr>
            <w:tcW w:type="dxa" w:w="2880"/>
          </w:tcPr>
          <w:p>
            <w:r/>
            <w:r>
              <w:rPr>
                <w:sz w:val="18"/>
              </w:rPr>
              <w:t>0.56</w:t>
            </w:r>
          </w:p>
        </w:tc>
        <w:tc>
          <w:tcPr>
            <w:tcW w:type="dxa" w:w="2880"/>
          </w:tcPr>
          <w:p>
            <w:r/>
            <w:r>
              <w:rPr>
                <w:sz w:val="18"/>
              </w:rPr>
              <w:t>0.56</w:t>
            </w:r>
          </w:p>
        </w:tc>
      </w:tr>
      <w:tr>
        <w:tc>
          <w:tcPr>
            <w:tcW w:type="dxa" w:w="2880"/>
          </w:tcPr>
          <w:p>
            <w:r/>
            <w:r>
              <w:rPr>
                <w:sz w:val="18"/>
              </w:rPr>
              <w:t>linear (ridge), all features</w:t>
            </w:r>
          </w:p>
        </w:tc>
        <w:tc>
          <w:tcPr>
            <w:tcW w:type="dxa" w:w="2880"/>
          </w:tcPr>
          <w:p>
            <w:r/>
            <w:r>
              <w:rPr>
                <w:sz w:val="18"/>
              </w:rPr>
              <w:t>0.59</w:t>
            </w:r>
          </w:p>
        </w:tc>
        <w:tc>
          <w:tcPr>
            <w:tcW w:type="dxa" w:w="2880"/>
          </w:tcPr>
          <w:p>
            <w:r/>
            <w:r>
              <w:rPr>
                <w:sz w:val="18"/>
              </w:rPr>
              <w:t>0.58</w:t>
            </w:r>
          </w:p>
        </w:tc>
      </w:tr>
      <w:tr>
        <w:tc>
          <w:tcPr>
            <w:tcW w:type="dxa" w:w="2880"/>
          </w:tcPr>
          <w:p>
            <w:r/>
            <w:r>
              <w:rPr>
                <w:sz w:val="18"/>
              </w:rPr>
              <w:t>random forest, all features</w:t>
            </w:r>
          </w:p>
        </w:tc>
        <w:tc>
          <w:tcPr>
            <w:tcW w:type="dxa" w:w="2880"/>
          </w:tcPr>
          <w:p>
            <w:r/>
            <w:r>
              <w:rPr>
                <w:sz w:val="18"/>
              </w:rPr>
              <w:t>0.61</w:t>
            </w:r>
          </w:p>
        </w:tc>
        <w:tc>
          <w:tcPr>
            <w:tcW w:type="dxa" w:w="2880"/>
          </w:tcPr>
          <w:p>
            <w:r/>
            <w:r>
              <w:rPr>
                <w:sz w:val="18"/>
              </w:rPr>
              <w:t>0.58</w:t>
            </w:r>
          </w:p>
        </w:tc>
      </w:tr>
      <w:tr>
        <w:tc>
          <w:tcPr>
            <w:tcW w:type="dxa" w:w="2880"/>
          </w:tcPr>
          <w:p>
            <w:r/>
            <w:r>
              <w:rPr>
                <w:sz w:val="18"/>
              </w:rPr>
              <w:t>gradient boosting, all features</w:t>
            </w:r>
          </w:p>
        </w:tc>
        <w:tc>
          <w:tcPr>
            <w:tcW w:type="dxa" w:w="2880"/>
          </w:tcPr>
          <w:p>
            <w:r/>
            <w:r>
              <w:rPr>
                <w:sz w:val="18"/>
              </w:rPr>
              <w:t>0.62</w:t>
            </w:r>
          </w:p>
        </w:tc>
        <w:tc>
          <w:tcPr>
            <w:tcW w:type="dxa" w:w="2880"/>
          </w:tcPr>
          <w:p>
            <w:r/>
            <w:r>
              <w:rPr>
                <w:sz w:val="18"/>
              </w:rPr>
              <w:t>0.60</w:t>
            </w:r>
          </w:p>
        </w:tc>
      </w:tr>
    </w:tbl>
    <w:p/>
    <w:p>
      <w:r>
        <w:t>The kitchen sink buys about four to six points of R², and the model's own accounting says where they come from: 78% of the gradient booster's predictive weight sits on 1200 size alone, most of the rest on raw coordinates and elevation (which proxy the coming Atlantic–North Sea shift, the pattern of §7), and under 1% on the privileges. Roughly 0.60 is the ceiling of what could have been known in 1200; the law reaches 0.56 of it with three parameters. The residual ~40% was not knowable — it is three centuries of plague draws, fires, sieges, trade-route accidents, and banking booms, plus the rounding and imputation error documented in §2.</w:t>
      </w:r>
    </w:p>
    <w:p>
      <w:r>
        <w:t>Two calibrations make the 0.56 easier to judge. First, the horizon ladder: predicting 1500 sizes from 1400 sizes — one century ahead, with perfect knowledge of the starting point — achieves only R² = 0.76; from 1300, 0.65; from 1200, 0.56. Unpredictability compounds century by century, and the 300-year figure is exactly on that decay curve. There is no specification that beats the horizon; even God's own 1400 census caps out at 0.76 for 1500. Second, scale: 300 years is roughly twelve human generations. Social science celebrates R² ≈ 0.1–0.25 for transmitting economic status across a single generation. Predicting individual cities across twelve, from three numbers, at 0.56, is not a weak result — it is an extraordinary amount of determinism, which is precisely the paper's claim of path dependence.</w:t>
      </w:r>
    </w:p>
    <w:p>
      <w:r>
        <w:t>The deeper point is that 0.56 is not a grade on the model; it is a measurement of the system. The paper's central decomposition — roughly two-thirds of the hierarchy locked in, roughly a third unexplained — and the prediction R² are the same fact in different units. If some specification pushed R² to 0.9, it would not vindicate the analysis; it would falsify Finding 3, because a system whose growth is 80% noise (κ/σ = 0.21) cannot be 90% predictable three centuries out. The equation predicts as well as the world it describes permits, and the shortfall is itself the measured quantity: the share of urban fate that was not knowable in advance — the share this paper labels unexplained and weakly persistent.</w:t>
      </w:r>
    </w:p>
    <w:p>
      <w:pPr>
        <w:pStyle w:val="Heading2"/>
      </w:pPr>
      <w:r>
        <w:rPr>
          <w:color w:val="333333"/>
          <w:sz w:val="24"/>
        </w:rPr>
        <w:t>8.3 What the equation cannot do — and why that failure is informative</w:t>
      </w:r>
    </w:p>
    <w:p>
      <w:r>
        <w:t>Simulating the law forward from the real 1200 sizes (400 runs) reproduces the persistence of the hierarchy and the general shape of its evolution. It fails in exactly one direction: the real top tier concentrated more than randomness predicts. The Zipf exponent — a standard measure of how dominant the largest cities are, lower = more concentrated — fell from 1.26 to 1.08 in the data, while the simulated law drifts toward mild equalization (1.22 by 1500). Figure 11 shows the divergence. That gap is the fingerprint of a force absent from the equation: agglomeration at the very top. Past a certain size, size itself attracts size — consistent with Dittmar's finding that Zipf's law for European cities emerges as the upper tail thickens toward the modern era.</w:t>
      </w:r>
    </w:p>
    <w:p>
      <w:pPr>
        <w:jc w:val="center"/>
      </w:pPr>
      <w:r>
        <w:drawing>
          <wp:inline xmlns:a="http://schemas.openxmlformats.org/drawingml/2006/main" xmlns:pic="http://schemas.openxmlformats.org/drawingml/2006/picture">
            <wp:extent cx="5577840" cy="3506071"/>
            <wp:docPr id="11" name="Picture 11"/>
            <wp:cNvGraphicFramePr>
              <a:graphicFrameLocks noChangeAspect="1"/>
            </wp:cNvGraphicFramePr>
            <a:graphic>
              <a:graphicData uri="http://schemas.openxmlformats.org/drawingml/2006/picture">
                <pic:pic>
                  <pic:nvPicPr>
                    <pic:cNvPr id="0" name="fig_zipf_evolution.png"/>
                    <pic:cNvPicPr/>
                  </pic:nvPicPr>
                  <pic:blipFill>
                    <a:blip r:embed="rId19"/>
                    <a:stretch>
                      <a:fillRect/>
                    </a:stretch>
                  </pic:blipFill>
                  <pic:spPr>
                    <a:xfrm>
                      <a:off x="0" y="0"/>
                      <a:ext cx="5577840" cy="3506071"/>
                    </a:xfrm>
                    <a:prstGeom prst="rect"/>
                  </pic:spPr>
                </pic:pic>
              </a:graphicData>
            </a:graphic>
          </wp:inline>
        </w:drawing>
      </w:r>
    </w:p>
    <w:p>
      <w:pPr>
        <w:jc w:val="center"/>
      </w:pPr>
      <w:r>
        <w:rPr>
          <w:i/>
          <w:sz w:val="18"/>
        </w:rPr>
        <w:t>Figure 11. Concentration of the urban hierarchy (Zipf exponent; lower = largest cities more dominant). Real cities (red) concentrate faster than the fitted random-growth law predicts (grey band).</w:t>
      </w:r>
    </w:p>
    <w:p>
      <w:r>
        <w:rPr>
          <w:b/>
        </w:rPr>
        <w:t xml:space="preserve">Finding 3: </w:t>
      </w:r>
      <w:r>
        <w:t>Medieval city size followed a near-random walk anchored on geography and swept by common shocks — a stochastic law, not a factor recipe — plus a modest agglomeration pull at the top that is the one thing the random walk cannot fake.</w:t>
      </w:r>
    </w:p>
    <w:p>
      <w:pPr>
        <w:pStyle w:val="Heading1"/>
      </w:pPr>
      <w:r>
        <w:rPr>
          <w:color w:val="1A1A1A"/>
          <w:sz w:val="30"/>
        </w:rPr>
        <w:t>9. Do the Results Survive the Data's Own Weaknesses?</w:t>
      </w:r>
    </w:p>
    <w:p>
      <w:pPr>
        <w:pStyle w:val="Heading2"/>
      </w:pPr>
      <w:r>
        <w:rPr>
          <w:color w:val="333333"/>
          <w:sz w:val="24"/>
        </w:rPr>
        <w:t>9.1 The Bairoch swap</w:t>
      </w:r>
    </w:p>
    <w:p>
      <w:r>
        <w:t>Every number above comes from the Buringh panel. Since medieval populations are reconstructions, I re-ran the core analyses with Bairoch's (1988) estimates swapped in — same cities, same geography, same privilege dates and coverage universes; only the population numbers change. The two compilations overlap in their sources (§2), so this is a test of sensitivity to the reconstruction choices, not a fully independent replication — but it is exactly the comparison that matters for the results that could be artifacts of one scholar's imputation scheme. Figure 12 shows the raw agreement (r = 0.96 on 1500 log sizes, 511 common cities); Table 6 and Figure 13 place the headline quantities side by side.</w:t>
      </w:r>
    </w:p>
    <w:p>
      <w:pPr>
        <w:jc w:val="center"/>
      </w:pPr>
      <w:r>
        <w:drawing>
          <wp:inline xmlns:a="http://schemas.openxmlformats.org/drawingml/2006/main" xmlns:pic="http://schemas.openxmlformats.org/drawingml/2006/picture">
            <wp:extent cx="5577840" cy="5408815"/>
            <wp:docPr id="12" name="Picture 12"/>
            <wp:cNvGraphicFramePr>
              <a:graphicFrameLocks noChangeAspect="1"/>
            </wp:cNvGraphicFramePr>
            <a:graphic>
              <a:graphicData uri="http://schemas.openxmlformats.org/drawingml/2006/picture">
                <pic:pic>
                  <pic:nvPicPr>
                    <pic:cNvPr id="0" name="fig_source_agreement.png"/>
                    <pic:cNvPicPr/>
                  </pic:nvPicPr>
                  <pic:blipFill>
                    <a:blip r:embed="rId20"/>
                    <a:stretch>
                      <a:fillRect/>
                    </a:stretch>
                  </pic:blipFill>
                  <pic:spPr>
                    <a:xfrm>
                      <a:off x="0" y="0"/>
                      <a:ext cx="5577840" cy="5408815"/>
                    </a:xfrm>
                    <a:prstGeom prst="rect"/>
                  </pic:spPr>
                </pic:pic>
              </a:graphicData>
            </a:graphic>
          </wp:inline>
        </w:drawing>
      </w:r>
    </w:p>
    <w:p>
      <w:pPr>
        <w:jc w:val="center"/>
      </w:pPr>
      <w:r>
        <w:rPr>
          <w:i/>
          <w:sz w:val="18"/>
        </w:rPr>
        <w:t>Figure 12. Agreement between the two population reconstructions on 1500 city sizes (r = 0.96, n = 511).</w:t>
      </w:r>
    </w:p>
    <w:p>
      <w:r>
        <w:rPr>
          <w:b/>
          <w:sz w:val="19"/>
        </w:rPr>
        <w:t>Table 6. Core results on the two population reconstructions, both under the corrected coverage universes.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result</w:t>
            </w:r>
          </w:p>
        </w:tc>
        <w:tc>
          <w:tcPr>
            <w:tcW w:type="dxa" w:w="2880"/>
          </w:tcPr>
          <w:p>
            <w:r/>
            <w:r>
              <w:rPr>
                <w:b/>
                <w:sz w:val="18"/>
              </w:rPr>
              <w:t>Buringh (2021)</w:t>
            </w:r>
          </w:p>
        </w:tc>
        <w:tc>
          <w:tcPr>
            <w:tcW w:type="dxa" w:w="2880"/>
          </w:tcPr>
          <w:p>
            <w:r/>
            <w:r>
              <w:rPr>
                <w:b/>
                <w:sz w:val="18"/>
              </w:rPr>
              <w:t>Bairoch (1988)</w:t>
            </w:r>
          </w:p>
        </w:tc>
      </w:tr>
      <w:tr>
        <w:tc>
          <w:tcPr>
            <w:tcW w:type="dxa" w:w="2880"/>
          </w:tcPr>
          <w:p>
            <w:r/>
            <w:r>
              <w:rPr>
                <w:sz w:val="18"/>
              </w:rPr>
              <w:t>growth predictable from size? (R², 1300→1500)</w:t>
            </w:r>
          </w:p>
        </w:tc>
        <w:tc>
          <w:tcPr>
            <w:tcW w:type="dxa" w:w="2880"/>
          </w:tcPr>
          <w:p>
            <w:r/>
            <w:r>
              <w:rPr>
                <w:sz w:val="18"/>
              </w:rPr>
              <w:t>0.05</w:t>
            </w:r>
          </w:p>
        </w:tc>
        <w:tc>
          <w:tcPr>
            <w:tcW w:type="dxa" w:w="2880"/>
          </w:tcPr>
          <w:p>
            <w:r/>
            <w:r>
              <w:rPr>
                <w:sz w:val="18"/>
              </w:rPr>
              <w:t>0.30</w:t>
            </w:r>
          </w:p>
        </w:tc>
      </w:tr>
      <w:tr>
        <w:tc>
          <w:tcPr>
            <w:tcW w:type="dxa" w:w="2880"/>
          </w:tcPr>
          <w:p>
            <w:r/>
            <w:r>
              <w:rPr>
                <w:sz w:val="18"/>
              </w:rPr>
              <w:t>persistence of the hierarchy (r², 1300→1500)</w:t>
            </w:r>
          </w:p>
        </w:tc>
        <w:tc>
          <w:tcPr>
            <w:tcW w:type="dxa" w:w="2880"/>
          </w:tcPr>
          <w:p>
            <w:r/>
            <w:r>
              <w:rPr>
                <w:sz w:val="18"/>
              </w:rPr>
              <w:t>0.65</w:t>
            </w:r>
          </w:p>
        </w:tc>
        <w:tc>
          <w:tcPr>
            <w:tcW w:type="dxa" w:w="2880"/>
          </w:tcPr>
          <w:p>
            <w:r/>
            <w:r>
              <w:rPr>
                <w:sz w:val="18"/>
              </w:rPr>
              <w:t>0.54</w:t>
            </w:r>
          </w:p>
        </w:tc>
      </w:tr>
      <w:tr>
        <w:tc>
          <w:tcPr>
            <w:tcW w:type="dxa" w:w="2880"/>
          </w:tcPr>
          <w:p>
            <w:r/>
            <w:r>
              <w:rPr>
                <w:sz w:val="18"/>
              </w:rPr>
              <w:t>momentum share of 1500 size variance</w:t>
            </w:r>
          </w:p>
        </w:tc>
        <w:tc>
          <w:tcPr>
            <w:tcW w:type="dxa" w:w="2880"/>
          </w:tcPr>
          <w:p>
            <w:r/>
            <w:r>
              <w:rPr>
                <w:sz w:val="18"/>
              </w:rPr>
              <w:t>96%</w:t>
            </w:r>
          </w:p>
        </w:tc>
        <w:tc>
          <w:tcPr>
            <w:tcW w:type="dxa" w:w="2880"/>
          </w:tcPr>
          <w:p>
            <w:r/>
            <w:r>
              <w:rPr>
                <w:sz w:val="18"/>
              </w:rPr>
              <w:t>98%</w:t>
            </w:r>
          </w:p>
        </w:tc>
      </w:tr>
      <w:tr>
        <w:tc>
          <w:tcPr>
            <w:tcW w:type="dxa" w:w="2880"/>
          </w:tcPr>
          <w:p>
            <w:r/>
            <w:r>
              <w:rPr>
                <w:sz w:val="18"/>
              </w:rPr>
              <w:t>water premium per century (1300→1500 window)</w:t>
            </w:r>
          </w:p>
        </w:tc>
        <w:tc>
          <w:tcPr>
            <w:tcW w:type="dxa" w:w="2880"/>
          </w:tcPr>
          <w:p>
            <w:r/>
            <w:r>
              <w:rPr>
                <w:sz w:val="18"/>
              </w:rPr>
              <w:t>+9% (p = .008)</w:t>
            </w:r>
          </w:p>
        </w:tc>
        <w:tc>
          <w:tcPr>
            <w:tcW w:type="dxa" w:w="2880"/>
          </w:tcPr>
          <w:p>
            <w:r/>
            <w:r>
              <w:rPr>
                <w:sz w:val="18"/>
              </w:rPr>
              <w:t>+15% (p = .15)</w:t>
            </w:r>
          </w:p>
        </w:tc>
      </w:tr>
      <w:tr>
        <w:tc>
          <w:tcPr>
            <w:tcW w:type="dxa" w:w="2880"/>
          </w:tcPr>
          <w:p>
            <w:r/>
            <w:r>
              <w:rPr>
                <w:sz w:val="18"/>
              </w:rPr>
              <w:t>staple right: raw size gap (in-footprint)</w:t>
            </w:r>
          </w:p>
        </w:tc>
        <w:tc>
          <w:tcPr>
            <w:tcW w:type="dxa" w:w="2880"/>
          </w:tcPr>
          <w:p>
            <w:r/>
            <w:r>
              <w:rPr>
                <w:sz w:val="18"/>
              </w:rPr>
              <w:t>+127%</w:t>
            </w:r>
          </w:p>
        </w:tc>
        <w:tc>
          <w:tcPr>
            <w:tcW w:type="dxa" w:w="2880"/>
          </w:tcPr>
          <w:p>
            <w:r/>
            <w:r>
              <w:rPr>
                <w:sz w:val="18"/>
              </w:rPr>
              <w:t>+97%</w:t>
            </w:r>
          </w:p>
        </w:tc>
      </w:tr>
      <w:tr>
        <w:tc>
          <w:tcPr>
            <w:tcW w:type="dxa" w:w="2880"/>
          </w:tcPr>
          <w:p>
            <w:r/>
            <w:r>
              <w:rPr>
                <w:sz w:val="18"/>
              </w:rPr>
              <w:t>staple right: matched DiD</w:t>
            </w:r>
          </w:p>
        </w:tc>
        <w:tc>
          <w:tcPr>
            <w:tcW w:type="dxa" w:w="2880"/>
          </w:tcPr>
          <w:p>
            <w:r/>
            <w:r>
              <w:rPr>
                <w:sz w:val="18"/>
              </w:rPr>
              <w:t>−6% (53 treated)</w:t>
            </w:r>
          </w:p>
        </w:tc>
        <w:tc>
          <w:tcPr>
            <w:tcW w:type="dxa" w:w="2880"/>
          </w:tcPr>
          <w:p>
            <w:r/>
            <w:r>
              <w:rPr>
                <w:sz w:val="18"/>
              </w:rPr>
              <w:t>−41% (7 treated)</w:t>
            </w:r>
          </w:p>
        </w:tc>
      </w:tr>
    </w:tbl>
    <w:p/>
    <w:p>
      <w:pPr>
        <w:jc w:val="center"/>
      </w:pPr>
      <w:r>
        <w:drawing>
          <wp:inline xmlns:a="http://schemas.openxmlformats.org/drawingml/2006/main" xmlns:pic="http://schemas.openxmlformats.org/drawingml/2006/picture">
            <wp:extent cx="5577840" cy="2910177"/>
            <wp:docPr id="13" name="Picture 13"/>
            <wp:cNvGraphicFramePr>
              <a:graphicFrameLocks noChangeAspect="1"/>
            </wp:cNvGraphicFramePr>
            <a:graphic>
              <a:graphicData uri="http://schemas.openxmlformats.org/drawingml/2006/picture">
                <pic:pic>
                  <pic:nvPicPr>
                    <pic:cNvPr id="0" name="fig_robustness_bars.png"/>
                    <pic:cNvPicPr/>
                  </pic:nvPicPr>
                  <pic:blipFill>
                    <a:blip r:embed="rId21"/>
                    <a:stretch>
                      <a:fillRect/>
                    </a:stretch>
                  </pic:blipFill>
                  <pic:spPr>
                    <a:xfrm>
                      <a:off x="0" y="0"/>
                      <a:ext cx="5577840" cy="2910177"/>
                    </a:xfrm>
                    <a:prstGeom prst="rect"/>
                  </pic:spPr>
                </pic:pic>
              </a:graphicData>
            </a:graphic>
          </wp:inline>
        </w:drawing>
      </w:r>
    </w:p>
    <w:p>
      <w:pPr>
        <w:jc w:val="center"/>
      </w:pPr>
      <w:r>
        <w:rPr>
          <w:i/>
          <w:sz w:val="18"/>
        </w:rPr>
        <w:t>Figure 13. The same qualitative findings on both reconstructions: persistence dominates, water is positive, the raw staple gap collapses under the causal test.</w:t>
      </w:r>
    </w:p>
    <w:p>
      <w:r>
        <w:t>Every qualitative conclusion replicates: century growth is largely unpredictable, inherited size dominates, water carries a positive premium, and the raw staple advantage collapses (indeed reverses) under the timing-aware comparison. The honest differences run in expected directions: Bairoch is thin before 1300 and skews to larger, better-documented towns, so it shows more mean-reversion and its staple test rests on only seven treated towns. Nothing rests on which scholar's numbers one prefers.</w:t>
      </w:r>
    </w:p>
    <w:p>
      <w:pPr>
        <w:pStyle w:val="Heading2"/>
      </w:pPr>
      <w:r>
        <w:rPr>
          <w:color w:val="333333"/>
          <w:sz w:val="24"/>
        </w:rPr>
        <w:t>9.2 Imputation and the small-town floor</w:t>
      </w:r>
    </w:p>
    <w:p>
      <w:r>
        <w:t>Buringh's own metadata says the series combines earlier demographic compilations with new estimates and city/time-specific imputations, and §2 quantified it: 81% of the city-year values in the 1200–1500 analysis sample are flagged imputed or proxied (95% in 1200, falling to 69% by 1500). This cannot be waved away, and it cannot be fully purged either: restricting to purely non-imputed observations leaves about 40 usable cities — far too few to re-estimate anything. Three mitigations are available. First, the medieval urban hierarchy is not controversial at the top, and the results are rank-driven. Second, the Bairoch swap above changes the imputation scheme wholesale and changes no conclusion. Third, rounding-to-thousands noise is worst for the smallest towns, so Table 7 raises the population floor from 1,000 to 5,000 and 10,000: persistence and the water premium's point estimate barely move (significance fades with sample size, as it must), and the staple DiD stays at or below zero throughout.</w:t>
      </w:r>
    </w:p>
    <w:p>
      <w:r>
        <w:rPr>
          <w:b/>
          <w:sz w:val="19"/>
        </w:rPr>
        <w:t>Table 7. Threshold robustness. Rounded populations make small-town growth noisy; the core quantities are stable as the floor rises and samples shrink.</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sz w:val="18"/>
              </w:rPr>
              <w:t>population floor</w:t>
            </w:r>
          </w:p>
        </w:tc>
        <w:tc>
          <w:tcPr>
            <w:tcW w:type="dxa" w:w="1440"/>
          </w:tcPr>
          <w:p>
            <w:r/>
            <w:r>
              <w:rPr>
                <w:b/>
                <w:sz w:val="18"/>
              </w:rPr>
              <w:t>n (1200 &amp; 1500)</w:t>
            </w:r>
          </w:p>
        </w:tc>
        <w:tc>
          <w:tcPr>
            <w:tcW w:type="dxa" w:w="1440"/>
          </w:tcPr>
          <w:p>
            <w:r/>
            <w:r>
              <w:rPr>
                <w:b/>
                <w:sz w:val="18"/>
              </w:rPr>
              <w:t>persistence r²</w:t>
            </w:r>
          </w:p>
        </w:tc>
        <w:tc>
          <w:tcPr>
            <w:tcW w:type="dxa" w:w="1440"/>
          </w:tcPr>
          <w:p>
            <w:r/>
            <w:r>
              <w:rPr>
                <w:b/>
                <w:sz w:val="18"/>
              </w:rPr>
              <w:t>Gibrat R² (growth~size)</w:t>
            </w:r>
          </w:p>
        </w:tc>
        <w:tc>
          <w:tcPr>
            <w:tcW w:type="dxa" w:w="1440"/>
          </w:tcPr>
          <w:p>
            <w:r/>
            <w:r>
              <w:rPr>
                <w:b/>
                <w:sz w:val="18"/>
              </w:rPr>
              <w:t>water premium</w:t>
            </w:r>
          </w:p>
        </w:tc>
        <w:tc>
          <w:tcPr>
            <w:tcW w:type="dxa" w:w="1440"/>
          </w:tcPr>
          <w:p>
            <w:r/>
            <w:r>
              <w:rPr>
                <w:b/>
                <w:sz w:val="18"/>
              </w:rPr>
              <w:t>staple DiD</w:t>
            </w:r>
          </w:p>
        </w:tc>
      </w:tr>
      <w:tr>
        <w:tc>
          <w:tcPr>
            <w:tcW w:type="dxa" w:w="1440"/>
          </w:tcPr>
          <w:p>
            <w:r/>
            <w:r>
              <w:rPr>
                <w:sz w:val="18"/>
              </w:rPr>
              <w:t>1,000</w:t>
            </w:r>
          </w:p>
        </w:tc>
        <w:tc>
          <w:tcPr>
            <w:tcW w:type="dxa" w:w="1440"/>
          </w:tcPr>
          <w:p>
            <w:r/>
            <w:r>
              <w:rPr>
                <w:sz w:val="18"/>
              </w:rPr>
              <w:t>1,092</w:t>
            </w:r>
          </w:p>
        </w:tc>
        <w:tc>
          <w:tcPr>
            <w:tcW w:type="dxa" w:w="1440"/>
          </w:tcPr>
          <w:p>
            <w:r/>
            <w:r>
              <w:rPr>
                <w:sz w:val="18"/>
              </w:rPr>
              <w:t>0.56</w:t>
            </w:r>
          </w:p>
        </w:tc>
        <w:tc>
          <w:tcPr>
            <w:tcW w:type="dxa" w:w="1440"/>
          </w:tcPr>
          <w:p>
            <w:r/>
            <w:r>
              <w:rPr>
                <w:sz w:val="18"/>
              </w:rPr>
              <w:t>0.03</w:t>
            </w:r>
          </w:p>
        </w:tc>
        <w:tc>
          <w:tcPr>
            <w:tcW w:type="dxa" w:w="1440"/>
          </w:tcPr>
          <w:p>
            <w:r/>
            <w:r>
              <w:rPr>
                <w:sz w:val="18"/>
              </w:rPr>
              <w:t>+0.14 (p &lt; .001)</w:t>
            </w:r>
          </w:p>
        </w:tc>
        <w:tc>
          <w:tcPr>
            <w:tcW w:type="dxa" w:w="1440"/>
          </w:tcPr>
          <w:p>
            <w:r/>
            <w:r>
              <w:rPr>
                <w:sz w:val="18"/>
              </w:rPr>
              <w:t>−0.08 (65 treated)</w:t>
            </w:r>
          </w:p>
        </w:tc>
      </w:tr>
      <w:tr>
        <w:tc>
          <w:tcPr>
            <w:tcW w:type="dxa" w:w="1440"/>
          </w:tcPr>
          <w:p>
            <w:r/>
            <w:r>
              <w:rPr>
                <w:sz w:val="18"/>
              </w:rPr>
              <w:t>5,000</w:t>
            </w:r>
          </w:p>
        </w:tc>
        <w:tc>
          <w:tcPr>
            <w:tcW w:type="dxa" w:w="1440"/>
          </w:tcPr>
          <w:p>
            <w:r/>
            <w:r>
              <w:rPr>
                <w:sz w:val="18"/>
              </w:rPr>
              <w:t>153</w:t>
            </w:r>
          </w:p>
        </w:tc>
        <w:tc>
          <w:tcPr>
            <w:tcW w:type="dxa" w:w="1440"/>
          </w:tcPr>
          <w:p>
            <w:r/>
            <w:r>
              <w:rPr>
                <w:sz w:val="18"/>
              </w:rPr>
              <w:t>0.52</w:t>
            </w:r>
          </w:p>
        </w:tc>
        <w:tc>
          <w:tcPr>
            <w:tcW w:type="dxa" w:w="1440"/>
          </w:tcPr>
          <w:p>
            <w:r/>
            <w:r>
              <w:rPr>
                <w:sz w:val="18"/>
              </w:rPr>
              <w:t>0.00</w:t>
            </w:r>
          </w:p>
        </w:tc>
        <w:tc>
          <w:tcPr>
            <w:tcW w:type="dxa" w:w="1440"/>
          </w:tcPr>
          <w:p>
            <w:r/>
            <w:r>
              <w:rPr>
                <w:sz w:val="18"/>
              </w:rPr>
              <w:t>+0.13 (p = .18)</w:t>
            </w:r>
          </w:p>
        </w:tc>
        <w:tc>
          <w:tcPr>
            <w:tcW w:type="dxa" w:w="1440"/>
          </w:tcPr>
          <w:p>
            <w:r/>
            <w:r>
              <w:rPr>
                <w:sz w:val="18"/>
              </w:rPr>
              <w:t>−0.06 (17 treated)</w:t>
            </w:r>
          </w:p>
        </w:tc>
      </w:tr>
      <w:tr>
        <w:tc>
          <w:tcPr>
            <w:tcW w:type="dxa" w:w="1440"/>
          </w:tcPr>
          <w:p>
            <w:r/>
            <w:r>
              <w:rPr>
                <w:sz w:val="18"/>
              </w:rPr>
              <w:t>10,000</w:t>
            </w:r>
          </w:p>
        </w:tc>
        <w:tc>
          <w:tcPr>
            <w:tcW w:type="dxa" w:w="1440"/>
          </w:tcPr>
          <w:p>
            <w:r/>
            <w:r>
              <w:rPr>
                <w:sz w:val="18"/>
              </w:rPr>
              <w:t>59</w:t>
            </w:r>
          </w:p>
        </w:tc>
        <w:tc>
          <w:tcPr>
            <w:tcW w:type="dxa" w:w="1440"/>
          </w:tcPr>
          <w:p>
            <w:r/>
            <w:r>
              <w:rPr>
                <w:sz w:val="18"/>
              </w:rPr>
              <w:t>0.49</w:t>
            </w:r>
          </w:p>
        </w:tc>
        <w:tc>
          <w:tcPr>
            <w:tcW w:type="dxa" w:w="1440"/>
          </w:tcPr>
          <w:p>
            <w:r/>
            <w:r>
              <w:rPr>
                <w:sz w:val="18"/>
              </w:rPr>
              <w:t>0.01</w:t>
            </w:r>
          </w:p>
        </w:tc>
        <w:tc>
          <w:tcPr>
            <w:tcW w:type="dxa" w:w="1440"/>
          </w:tcPr>
          <w:p>
            <w:r/>
            <w:r>
              <w:rPr>
                <w:sz w:val="18"/>
              </w:rPr>
              <w:t>+0.14 (p = .36)</w:t>
            </w:r>
          </w:p>
        </w:tc>
        <w:tc>
          <w:tcPr>
            <w:tcW w:type="dxa" w:w="1440"/>
          </w:tcPr>
          <w:p>
            <w:r/>
            <w:r>
              <w:rPr>
                <w:sz w:val="18"/>
              </w:rPr>
              <w:t>−0.37 (3 treated)</w:t>
            </w:r>
          </w:p>
        </w:tc>
      </w:tr>
    </w:tbl>
    <w:p/>
    <w:p>
      <w:pPr>
        <w:pStyle w:val="Heading1"/>
      </w:pPr>
      <w:r>
        <w:rPr>
          <w:color w:val="1A1A1A"/>
          <w:sz w:val="30"/>
        </w:rPr>
        <w:t>10. What Is Actually New Here</w:t>
      </w:r>
    </w:p>
    <w:p>
      <w:r>
        <w:t>Each ingredient of this paper has a literature behind it; the contributions are specific:</w:t>
      </w:r>
    </w:p>
    <w:p>
      <w:pPr>
        <w:pStyle w:val="ListBullet"/>
      </w:pPr>
      <w:r>
        <w:rPr>
          <w:b/>
        </w:rPr>
        <w:t xml:space="preserve">1. </w:t>
      </w:r>
      <w:r>
        <w:t>Privileges get a timing-aware causal test with explicit coverage discipline — and the null generalizes across Europe. What is new is difference-in-differences and stacked event-study estimates around the grant dates of six institutional treatments from four sources (Viabundus staples and fairs; Städtebuch charters and market rights; Bosker communes Europe-wide; Wahl participative institutions), each restricted to the universe where absence is observable. The event studies show privileged towns rising for two centuries before the grant with no break after it — in Germany, Italy, and France alike. For the well-powered tests the nulls are informative: staple effects above +10%, fair above +14%, commune above +7%, and participative-institution effects above +8% are excluded, against naive gaps of +40%, +26%, +21%, +5%; for charters and market rights the nulls are honest but imprecise (MDEs of +41%/+51%). Prior work (e.g., Bosker et al. 2013) showed institution coefficients shrink under fixed effects; this is a direct before/after test of the grants themselves.</w:t>
      </w:r>
    </w:p>
    <w:p>
      <w:pPr>
        <w:pStyle w:val="ListBullet"/>
      </w:pPr>
      <w:r>
        <w:rPr>
          <w:b/>
        </w:rPr>
        <w:t xml:space="preserve">2. </w:t>
      </w:r>
      <w:r>
        <w:t>The urban hierarchy's origins are decomposed, with the decomposition's own limits stated. The full-sample Shapley split of predictive R² — 48% inherited (1200) size, 19% deep (800 AD) origin, 2.6% geography conditional on those sizes, 31% unexplained — is descriptive accounting; geography's small share is a statement about what remained for geography to do after 1200, not about its total historical role. Institutions, measured on their observable universe, carry ~12 points of variance as markers and ~4 points incremental to geography-plus-size. The residual-persistence test (autocorrelation −0.10/−0.16) rules out a stable omitted factor; the residual itself is unexplained and weakly persistent — transient shocks plus measurement noise, bounded above by ‘luck.’ Persistence quantified to 800 AD (r² = 0.40 across 700 years) puts a number on ‘deep roots’ claims usually made qualitatively.</w:t>
      </w:r>
    </w:p>
    <w:p>
      <w:pPr>
        <w:pStyle w:val="ListBullet"/>
      </w:pPr>
      <w:r>
        <w:rPr>
          <w:b/>
        </w:rPr>
        <w:t xml:space="preserve">3. </w:t>
      </w:r>
      <w:r>
        <w:t>An explicit implied-size benchmark turns ‘over-performance’ into a measured quantity per city (Hamburg 9.7×, Mainz 0.5×), and the residuals line up on one axis: water.</w:t>
      </w:r>
    </w:p>
    <w:p>
      <w:pPr>
        <w:pStyle w:val="ListBullet"/>
      </w:pPr>
      <w:r>
        <w:rPr>
          <w:b/>
        </w:rPr>
        <w:t xml:space="preserve">4. </w:t>
      </w:r>
      <w:r>
        <w:t>The summary equation is validated as a predictor with the temporal leak closed: coefficients estimated solely on 800→1200 transitions, locked, still forecast the 1500 hierarchy at R² = 0.50 strict (0.56 with one scalar level correction), rank correlation 0.69, 8/10 of the largest cities — against R² = 0.02 for growth — and sit near the information ceiling (flexible models with every 1200-vintage feature: ≈0.60 under spatially blocked CV). The one systematic failure (real concentration outrunning the simulated law, Zipf 1.08 vs 1.22) isolates top-end agglomeration as the single force a random walk cannot mimic.</w:t>
      </w:r>
    </w:p>
    <w:p>
      <w:pPr>
        <w:pStyle w:val="ListBullet"/>
      </w:pPr>
      <w:r>
        <w:rPr>
          <w:b/>
        </w:rPr>
        <w:t xml:space="preserve">5. </w:t>
      </w:r>
      <w:r>
        <w:t>The Black Death result extends Jedwab, Johnson &amp; Koyama's recovery-toward-fixed-factors finding — and the mechanism is confronted with actual arrival data. Within this sample the operative fixed factor was navigable water: the coastal premium is negative in the plague century and strongly positive in the recovery century, with post-plague winners disproportionately on water. Matching Biraben's digitized first-wave outbreak records (1347–52) confirms the exposure geography — coastal and river cities were 6–7 points more likely to record an outbreak, size-controlled — while showing candidly that the damage-and-rebound channel cannot be identified from chronicle records at century resolution.</w:t>
      </w:r>
    </w:p>
    <w:p>
      <w:pPr>
        <w:pStyle w:val="Heading1"/>
      </w:pPr>
      <w:r>
        <w:rPr>
          <w:color w:val="1A1A1A"/>
          <w:sz w:val="30"/>
        </w:rPr>
        <w:t>11. What This Means</w:t>
      </w:r>
    </w:p>
    <w:p>
      <w:r>
        <w:t>The story in which a wise ruler's grant of staple or market rights created a great city reverses the arrow the data show. Rulers granted privileges to places that were already rising — the event studies put the ascent's start at least two centuries before the typical grant — usually because water access or Roman-era roots had put them on the map long before. The privilege was recognition of success in progress, not its cause; no privilege shows a growth break at its grant, and for the best-measured privileges any effect beyond +10–14% is ruled out. None of this makes charters unimportant to medieval life — they shaped law, liberty, and identity — but they do not explain who grew.</w:t>
      </w:r>
    </w:p>
    <w:p>
      <w:r>
        <w:t>What does explain who grew is boring, which is the point. A city's fortune was set by where it sat in the landscape of trade — above all, whether goods could reach it by water — and by how early it had established itself, because size carried itself forward across centuries at a rate of 0.915 per century. Around that skeleton, individual fates were shuffled by shocks no equation predicts: a residual five times larger than the systematic pull. Policy operated at the margins of a system whose destiny was mostly mapped before the policies existed. If there is a lesson for the long run of cities, it is humility about recipes: the levers everyone argued about moved almost nothing, the ones nobody could move — rivers, coasts, head starts — moved almost everything, and a large remainder was shocks no one could foresee and no ledger recorded.</w:t>
      </w:r>
    </w:p>
    <w:p>
      <w:pPr>
        <w:pStyle w:val="Heading1"/>
      </w:pPr>
      <w:r>
        <w:rPr>
          <w:color w:val="1A1A1A"/>
          <w:sz w:val="30"/>
        </w:rPr>
        <w:t>References</w:t>
      </w:r>
    </w:p>
    <w:p>
      <w:pPr>
        <w:spacing w:after="80"/>
      </w:pPr>
      <w:r>
        <w:rPr>
          <w:sz w:val="19"/>
        </w:rPr>
        <w:t>Bairoch, P., Batou, J., &amp; Chèvre, P. (1988). La population des villes européennes de 800 à 1850. Geneva: Droz.</w:t>
      </w:r>
    </w:p>
    <w:p>
      <w:pPr>
        <w:spacing w:after="80"/>
      </w:pPr>
      <w:r>
        <w:rPr>
          <w:sz w:val="19"/>
        </w:rPr>
        <w:t>Bosker, M., Buringh, E., &amp; van Zanden, J. L. (2013). From Baghdad to London: Unraveling urban development in Europe, the Middle East, and North Africa, 800–1800. Review of Economics and Statistics, 95(4), 1418–1437.</w:t>
      </w:r>
    </w:p>
    <w:p>
      <w:pPr>
        <w:spacing w:after="80"/>
      </w:pPr>
      <w:r>
        <w:rPr>
          <w:sz w:val="19"/>
        </w:rPr>
        <w:t>Buringh, E. (2021). The population of European cities from 700 to 2000. Research Data Journal for the Humanities and Social Sciences, 6(1), 1–18.</w:t>
      </w:r>
    </w:p>
    <w:p>
      <w:pPr>
        <w:spacing w:after="80"/>
      </w:pPr>
      <w:r>
        <w:rPr>
          <w:sz w:val="19"/>
        </w:rPr>
        <w:t>Cantoni, D., Mohr, C., &amp; Weigand, M. (2020). Princes and townspeople: Dated town charters and market rights from the Deutsches Städtebuch.</w:t>
      </w:r>
    </w:p>
    <w:p>
      <w:pPr>
        <w:spacing w:after="80"/>
      </w:pPr>
      <w:r>
        <w:rPr>
          <w:sz w:val="19"/>
        </w:rPr>
        <w:t>Dittmar, J. (2011). Cities, markets, and growth: The emergence of Zipf's law. Working paper.</w:t>
      </w:r>
    </w:p>
    <w:p>
      <w:pPr>
        <w:spacing w:after="80"/>
      </w:pPr>
      <w:r>
        <w:rPr>
          <w:sz w:val="19"/>
        </w:rPr>
        <w:t>Gabaix, X. (1999). Zipf's law for cities: An explanation. Quarterly Journal of Economics, 114(3), 739–767.</w:t>
      </w:r>
    </w:p>
    <w:p>
      <w:pPr>
        <w:spacing w:after="80"/>
      </w:pPr>
      <w:r>
        <w:rPr>
          <w:sz w:val="19"/>
        </w:rPr>
        <w:t>Gibrat, R. (1931). Les inégalités économiques. Paris: Sirey.</w:t>
      </w:r>
    </w:p>
    <w:p>
      <w:pPr>
        <w:spacing w:after="80"/>
      </w:pPr>
      <w:r>
        <w:rPr>
          <w:sz w:val="19"/>
        </w:rPr>
        <w:t>Holterman, B., et al. Viabundus: Map of premodern European transport and mobility, 1350–1650.</w:t>
      </w:r>
    </w:p>
    <w:p>
      <w:pPr>
        <w:spacing w:after="80"/>
      </w:pPr>
      <w:r>
        <w:rPr>
          <w:sz w:val="19"/>
        </w:rPr>
        <w:t>Israeli, O. (2007). A Shapley-based decomposition of the R-square of a linear regression. Journal of Economic Inequality, 5(2), 199–212.</w:t>
      </w:r>
    </w:p>
    <w:p>
      <w:pPr>
        <w:spacing w:after="80"/>
      </w:pPr>
      <w:r>
        <w:rPr>
          <w:sz w:val="19"/>
        </w:rPr>
        <w:t>Jedwab, R., Johnson, N. D., &amp; Koyama, M. (2024). Medieval cities through the lens of urban economics.</w:t>
      </w:r>
    </w:p>
    <w:p>
      <w:pPr>
        <w:spacing w:after="80"/>
      </w:pPr>
      <w:r>
        <w:rPr>
          <w:sz w:val="19"/>
        </w:rPr>
        <w:t>Krauer, F., &amp; Schmid, B. V. (2022). Mapping the plague through natural language processing (digitized Biraben/Sticker outbreak data). Zenodo, doi:10.5281/zenodo.6587267.</w:t>
      </w:r>
    </w:p>
    <w:p>
      <w:pPr>
        <w:spacing w:after="80"/>
      </w:pPr>
      <w:r>
        <w:rPr>
          <w:sz w:val="19"/>
        </w:rPr>
        <w:t>Wahl, F. (2015). Participative political institutions in pre-modern Europe: Introducing a new database. Historical Methods, 48(3), 110–124.</w:t>
      </w:r>
    </w:p>
    <w:p>
      <w:pPr>
        <w:spacing w:after="80"/>
      </w:pPr>
      <w:r>
        <w:rPr>
          <w:sz w:val="19"/>
        </w:rPr>
        <w:t>Shorrocks, A. F. (1982). Inequality decomposition by factor components. Econometrica, 50(1), 193–211.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