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9E" w:rsidRDefault="00E2109E" w:rsidP="00E2109E">
      <w:pPr>
        <w:pStyle w:val="Appendix2"/>
        <w:rPr>
          <w:noProof/>
        </w:rPr>
      </w:pPr>
      <w:bookmarkStart w:id="0" w:name="_Toc450907822"/>
      <w:r>
        <w:rPr>
          <w:noProof/>
        </w:rPr>
        <w:t>John Radford</w:t>
      </w:r>
      <w:bookmarkEnd w:id="0"/>
    </w:p>
    <w:p w:rsidR="00E2109E" w:rsidRPr="00BD38CB" w:rsidRDefault="00E2109E" w:rsidP="00E2109E">
      <w:pPr>
        <w:spacing w:before="120" w:after="120"/>
        <w:rPr>
          <w:b/>
          <w:sz w:val="22"/>
        </w:rPr>
      </w:pPr>
      <w:r w:rsidRPr="00C95BF4">
        <w:rPr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22D726A" wp14:editId="148B1E08">
            <wp:simplePos x="0" y="0"/>
            <wp:positionH relativeFrom="column">
              <wp:posOffset>4474210</wp:posOffset>
            </wp:positionH>
            <wp:positionV relativeFrom="paragraph">
              <wp:posOffset>173990</wp:posOffset>
            </wp:positionV>
            <wp:extent cx="1609090" cy="2145030"/>
            <wp:effectExtent l="0" t="0" r="0" b="0"/>
            <wp:wrapSquare wrapText="left"/>
            <wp:docPr id="11" name="Picture 1" descr="IMG_3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3183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8CB">
        <w:rPr>
          <w:b/>
          <w:sz w:val="22"/>
        </w:rPr>
        <w:t xml:space="preserve">Overview </w:t>
      </w:r>
    </w:p>
    <w:p w:rsidR="00E2109E" w:rsidRPr="00705549" w:rsidRDefault="00E2109E" w:rsidP="00E2109E">
      <w:pPr>
        <w:spacing w:before="120" w:after="120"/>
        <w:rPr>
          <w:sz w:val="22"/>
        </w:rPr>
      </w:pPr>
      <w:r w:rsidRPr="00705549">
        <w:rPr>
          <w:sz w:val="22"/>
        </w:rPr>
        <w:t xml:space="preserve">John is an </w:t>
      </w:r>
      <w:r>
        <w:rPr>
          <w:sz w:val="22"/>
        </w:rPr>
        <w:t xml:space="preserve">executive-facing </w:t>
      </w:r>
      <w:r w:rsidRPr="00705549">
        <w:rPr>
          <w:sz w:val="22"/>
        </w:rPr>
        <w:t xml:space="preserve">Enterprise </w:t>
      </w:r>
      <w:r>
        <w:rPr>
          <w:sz w:val="22"/>
        </w:rPr>
        <w:t>Architect with</w:t>
      </w:r>
      <w:r w:rsidRPr="00705549">
        <w:rPr>
          <w:sz w:val="22"/>
        </w:rPr>
        <w:t xml:space="preserve"> over </w:t>
      </w:r>
      <w:r>
        <w:rPr>
          <w:sz w:val="22"/>
        </w:rPr>
        <w:t>20</w:t>
      </w:r>
      <w:r w:rsidRPr="00705549">
        <w:rPr>
          <w:sz w:val="22"/>
        </w:rPr>
        <w:t xml:space="preserve"> years</w:t>
      </w:r>
      <w:r>
        <w:rPr>
          <w:sz w:val="22"/>
        </w:rPr>
        <w:t xml:space="preserve"> of</w:t>
      </w:r>
      <w:r w:rsidRPr="00705549">
        <w:rPr>
          <w:sz w:val="22"/>
        </w:rPr>
        <w:t xml:space="preserve"> professional project delivery </w:t>
      </w:r>
      <w:r>
        <w:rPr>
          <w:sz w:val="22"/>
        </w:rPr>
        <w:t xml:space="preserve">and governance </w:t>
      </w:r>
      <w:r w:rsidRPr="00705549">
        <w:rPr>
          <w:sz w:val="22"/>
        </w:rPr>
        <w:t xml:space="preserve">experience for multiple private sector and government clients in Australia and the UK. </w:t>
      </w:r>
    </w:p>
    <w:p w:rsidR="00E2109E" w:rsidRPr="001E34CB" w:rsidRDefault="00E2109E" w:rsidP="00E2109E">
      <w:pPr>
        <w:spacing w:before="120" w:after="120"/>
        <w:rPr>
          <w:sz w:val="22"/>
        </w:rPr>
      </w:pPr>
      <w:r w:rsidRPr="001E34CB">
        <w:rPr>
          <w:sz w:val="22"/>
        </w:rPr>
        <w:t>Formal qualifications in enterprise architecture (TOGAF9) and project management (PRINCE2) augment this experience, and provide the foundations for a balanced and analytical approach to establishing and managing strategic change over extended timeframes.</w:t>
      </w:r>
    </w:p>
    <w:p w:rsidR="00E2109E" w:rsidRPr="00705549" w:rsidRDefault="00E2109E" w:rsidP="00E2109E">
      <w:pPr>
        <w:spacing w:before="120" w:after="120"/>
        <w:rPr>
          <w:sz w:val="22"/>
        </w:rPr>
      </w:pPr>
      <w:r w:rsidRPr="00705549">
        <w:rPr>
          <w:sz w:val="22"/>
        </w:rPr>
        <w:t>He is a specialist in the</w:t>
      </w:r>
      <w:r>
        <w:rPr>
          <w:sz w:val="22"/>
        </w:rPr>
        <w:t xml:space="preserve"> definition and capture of architectures across the full business, data, </w:t>
      </w:r>
      <w:r w:rsidRPr="00705549">
        <w:rPr>
          <w:sz w:val="22"/>
        </w:rPr>
        <w:t>application</w:t>
      </w:r>
      <w:r>
        <w:rPr>
          <w:sz w:val="22"/>
        </w:rPr>
        <w:t xml:space="preserve"> and technology domains</w:t>
      </w:r>
      <w:r w:rsidRPr="00705549">
        <w:rPr>
          <w:sz w:val="22"/>
        </w:rPr>
        <w:t xml:space="preserve">.  He is passionate about establishing traceability between strategic business motivators, </w:t>
      </w:r>
      <w:r>
        <w:rPr>
          <w:sz w:val="22"/>
        </w:rPr>
        <w:t>services</w:t>
      </w:r>
      <w:r w:rsidRPr="00705549">
        <w:rPr>
          <w:sz w:val="22"/>
        </w:rPr>
        <w:t xml:space="preserve">, processes, and </w:t>
      </w:r>
      <w:r>
        <w:rPr>
          <w:sz w:val="22"/>
        </w:rPr>
        <w:t xml:space="preserve">the people and technologies </w:t>
      </w:r>
      <w:proofErr w:type="gramStart"/>
      <w:r>
        <w:rPr>
          <w:sz w:val="22"/>
        </w:rPr>
        <w:t>who</w:t>
      </w:r>
      <w:proofErr w:type="gramEnd"/>
      <w:r>
        <w:rPr>
          <w:sz w:val="22"/>
        </w:rPr>
        <w:t xml:space="preserve"> support them</w:t>
      </w:r>
      <w:r w:rsidRPr="00705549">
        <w:rPr>
          <w:sz w:val="22"/>
        </w:rPr>
        <w:t xml:space="preserve">. </w:t>
      </w:r>
    </w:p>
    <w:p w:rsidR="00E2109E" w:rsidRPr="001611BD" w:rsidRDefault="00E2109E" w:rsidP="00E2109E">
      <w:pPr>
        <w:spacing w:before="120" w:after="120"/>
        <w:rPr>
          <w:sz w:val="22"/>
        </w:rPr>
      </w:pPr>
    </w:p>
    <w:p w:rsidR="00E2109E" w:rsidRDefault="00E2109E" w:rsidP="00E2109E">
      <w:pPr>
        <w:spacing w:before="120" w:after="120"/>
        <w:rPr>
          <w:b/>
          <w:sz w:val="22"/>
        </w:rPr>
      </w:pPr>
      <w:r w:rsidRPr="00BD38CB">
        <w:rPr>
          <w:b/>
          <w:sz w:val="22"/>
        </w:rPr>
        <w:t>Key Competencies/Skills</w:t>
      </w:r>
    </w:p>
    <w:p w:rsidR="00E2109E" w:rsidRPr="002F601A" w:rsidRDefault="00E2109E" w:rsidP="00E2109E">
      <w:pPr>
        <w:pStyle w:val="ListParagraph"/>
        <w:numPr>
          <w:ilvl w:val="0"/>
          <w:numId w:val="4"/>
        </w:numPr>
        <w:spacing w:before="40" w:after="40" w:line="240" w:lineRule="atLeast"/>
        <w:rPr>
          <w:rFonts w:ascii="Arial" w:hAnsi="Arial" w:cs="Arial"/>
        </w:rPr>
      </w:pPr>
      <w:r w:rsidRPr="002F601A">
        <w:rPr>
          <w:rFonts w:ascii="Arial" w:hAnsi="Arial" w:cs="Arial"/>
        </w:rPr>
        <w:t>Structuring and capturing Enterprise Architecture knowledge</w:t>
      </w:r>
    </w:p>
    <w:p w:rsidR="00E2109E" w:rsidRPr="002F601A" w:rsidRDefault="00E2109E" w:rsidP="00E2109E">
      <w:pPr>
        <w:pStyle w:val="ListParagraph"/>
        <w:numPr>
          <w:ilvl w:val="0"/>
          <w:numId w:val="4"/>
        </w:numPr>
        <w:spacing w:before="40" w:after="40" w:line="240" w:lineRule="atLeast"/>
        <w:rPr>
          <w:rFonts w:ascii="Arial" w:hAnsi="Arial" w:cs="Arial"/>
        </w:rPr>
      </w:pPr>
      <w:r w:rsidRPr="002F601A">
        <w:rPr>
          <w:rFonts w:ascii="Arial" w:hAnsi="Arial" w:cs="Arial"/>
        </w:rPr>
        <w:t>Selecting and delivering Enterprise Architecture tooling</w:t>
      </w:r>
    </w:p>
    <w:p w:rsidR="00E2109E" w:rsidRDefault="00E2109E" w:rsidP="00E2109E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lang w:eastAsia="en-AU"/>
        </w:rPr>
        <w:t xml:space="preserve">Establishing and providing </w:t>
      </w:r>
      <w:r w:rsidRPr="002F601A">
        <w:rPr>
          <w:rFonts w:ascii="Arial" w:eastAsia="Times New Roman" w:hAnsi="Arial" w:cs="Times New Roman"/>
          <w:lang w:eastAsia="en-AU"/>
        </w:rPr>
        <w:t xml:space="preserve">Project architectural </w:t>
      </w:r>
      <w:r>
        <w:rPr>
          <w:rFonts w:ascii="Arial" w:eastAsia="Times New Roman" w:hAnsi="Arial" w:cs="Times New Roman"/>
          <w:lang w:eastAsia="en-AU"/>
        </w:rPr>
        <w:t xml:space="preserve">templates and </w:t>
      </w:r>
      <w:r w:rsidRPr="002F601A">
        <w:rPr>
          <w:rFonts w:ascii="Arial" w:eastAsia="Times New Roman" w:hAnsi="Arial" w:cs="Times New Roman"/>
          <w:lang w:eastAsia="en-AU"/>
        </w:rPr>
        <w:t>governance</w:t>
      </w:r>
    </w:p>
    <w:p w:rsidR="00E2109E" w:rsidRPr="002F601A" w:rsidRDefault="00E2109E" w:rsidP="00E2109E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Times New Roman" w:hAnsi="Arial" w:cs="Times New Roman"/>
          <w:lang w:eastAsia="en-AU"/>
        </w:rPr>
      </w:pPr>
      <w:r w:rsidRPr="002F601A">
        <w:rPr>
          <w:rFonts w:ascii="Arial" w:eastAsia="Times New Roman" w:hAnsi="Arial" w:cs="Times New Roman"/>
          <w:lang w:eastAsia="en-AU"/>
        </w:rPr>
        <w:t>Establishing mechanisms for the Governance and Management of Enterprise IT</w:t>
      </w:r>
    </w:p>
    <w:p w:rsidR="00E2109E" w:rsidRPr="002F601A" w:rsidRDefault="00E2109E" w:rsidP="00E2109E">
      <w:pPr>
        <w:pStyle w:val="ListParagraph"/>
        <w:numPr>
          <w:ilvl w:val="0"/>
          <w:numId w:val="4"/>
        </w:numPr>
        <w:spacing w:after="12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lang w:eastAsia="en-AU"/>
        </w:rPr>
        <w:t>Systems Integration capability establishment</w:t>
      </w:r>
    </w:p>
    <w:p w:rsidR="00E2109E" w:rsidRDefault="00E2109E" w:rsidP="00E2109E">
      <w:pPr>
        <w:rPr>
          <w:b/>
          <w:sz w:val="22"/>
        </w:rPr>
      </w:pPr>
    </w:p>
    <w:p w:rsidR="00E2109E" w:rsidRDefault="00E2109E" w:rsidP="00E2109E">
      <w:pPr>
        <w:spacing w:before="120" w:after="120"/>
        <w:rPr>
          <w:b/>
          <w:sz w:val="22"/>
        </w:rPr>
      </w:pPr>
      <w:r>
        <w:rPr>
          <w:b/>
          <w:sz w:val="22"/>
        </w:rPr>
        <w:t>Recent Highlights</w:t>
      </w:r>
    </w:p>
    <w:p w:rsidR="00E2109E" w:rsidRDefault="00E2109E" w:rsidP="00E2109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Provided structured assessment and recommendation of EA tooling and initiated procurement and establishment of the capability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Powerlink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 xml:space="preserve"> Queensland);</w:t>
      </w:r>
    </w:p>
    <w:p w:rsidR="00E2109E" w:rsidRDefault="00E2109E" w:rsidP="00E2109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Established Enterprise Architecture standards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metamodel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>, catalogues, diagram templates, etc.) to provide consistent capture of enterprise knowledge across the Business, Data, Application and Technology domains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Powerlink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 xml:space="preserve"> Queensland, RACQ, 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Unitywater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>, NEHTA);</w:t>
      </w:r>
    </w:p>
    <w:p w:rsidR="00E2109E" w:rsidRDefault="00E2109E" w:rsidP="00E2109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Provided project templates to ensure consistency and timely delivery of architectural artefacts throughout the delivery.  Established gates in the project lifecycle where artefacts should be at a certain quality to proceed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Powerlink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 xml:space="preserve"> Queensland, RACQ, 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Unitywater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>);</w:t>
      </w:r>
    </w:p>
    <w:p w:rsidR="00E2109E" w:rsidRDefault="00E2109E" w:rsidP="00E2109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Established a continuous improvement process to uplift the maturity of the Governance and Management of Enterprise IT in an incremental manner and aligned to Enterprise Goals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Unitywater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>).</w:t>
      </w:r>
    </w:p>
    <w:p w:rsidR="00E2109E" w:rsidRPr="007E72D2" w:rsidRDefault="00E2109E" w:rsidP="00E2109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Ran procurement process for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Unitywater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 xml:space="preserve">), and provided governance over the delivery of a centralised integration capability - people, process, </w:t>
      </w:r>
      <w:proofErr w:type="gramStart"/>
      <w:r>
        <w:rPr>
          <w:rFonts w:ascii="Arial" w:eastAsia="Times New Roman" w:hAnsi="Arial" w:cs="Times New Roman"/>
          <w:szCs w:val="40"/>
          <w:lang w:eastAsia="en-AU"/>
        </w:rPr>
        <w:t>technology</w:t>
      </w:r>
      <w:proofErr w:type="gramEnd"/>
      <w:r>
        <w:rPr>
          <w:rFonts w:ascii="Arial" w:eastAsia="Times New Roman" w:hAnsi="Arial" w:cs="Times New Roman"/>
          <w:szCs w:val="40"/>
          <w:lang w:eastAsia="en-AU"/>
        </w:rPr>
        <w:t>. (</w:t>
      </w:r>
      <w:proofErr w:type="spellStart"/>
      <w:r>
        <w:rPr>
          <w:rFonts w:ascii="Arial" w:eastAsia="Times New Roman" w:hAnsi="Arial" w:cs="Times New Roman"/>
          <w:szCs w:val="40"/>
          <w:lang w:eastAsia="en-AU"/>
        </w:rPr>
        <w:t>Unitywater</w:t>
      </w:r>
      <w:proofErr w:type="spellEnd"/>
      <w:r>
        <w:rPr>
          <w:rFonts w:ascii="Arial" w:eastAsia="Times New Roman" w:hAnsi="Arial" w:cs="Times New Roman"/>
          <w:szCs w:val="40"/>
          <w:lang w:eastAsia="en-AU"/>
        </w:rPr>
        <w:t>, RACQ)</w:t>
      </w:r>
    </w:p>
    <w:p w:rsidR="00E2109E" w:rsidRDefault="00E2109E" w:rsidP="00E2109E">
      <w:pPr>
        <w:spacing w:before="120" w:after="120"/>
        <w:rPr>
          <w:b/>
          <w:sz w:val="22"/>
        </w:rPr>
      </w:pPr>
    </w:p>
    <w:p w:rsidR="00E2109E" w:rsidRPr="005D707B" w:rsidRDefault="00E2109E" w:rsidP="00E2109E">
      <w:pPr>
        <w:spacing w:before="120" w:after="120"/>
        <w:rPr>
          <w:b/>
          <w:sz w:val="22"/>
        </w:rPr>
      </w:pPr>
      <w:r w:rsidRPr="00BD38CB">
        <w:rPr>
          <w:b/>
          <w:sz w:val="22"/>
        </w:rPr>
        <w:t>Education, Qualifications and Memberships</w:t>
      </w:r>
    </w:p>
    <w:p w:rsidR="00E2109E" w:rsidRDefault="00E2109E" w:rsidP="00E2109E">
      <w:pPr>
        <w:numPr>
          <w:ilvl w:val="0"/>
          <w:numId w:val="2"/>
        </w:numPr>
        <w:tabs>
          <w:tab w:val="left" w:pos="709"/>
        </w:tabs>
        <w:spacing w:before="40" w:after="40" w:line="276" w:lineRule="auto"/>
        <w:ind w:left="709" w:hanging="283"/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BA(</w:t>
      </w:r>
      <w:proofErr w:type="gramEnd"/>
      <w:r>
        <w:rPr>
          <w:rFonts w:cs="Arial"/>
          <w:sz w:val="22"/>
          <w:szCs w:val="22"/>
        </w:rPr>
        <w:t>Hons) Computing and Information Systems, Brighton, UK (1997)</w:t>
      </w:r>
    </w:p>
    <w:p w:rsidR="00E2109E" w:rsidRDefault="00E2109E" w:rsidP="00E2109E">
      <w:pPr>
        <w:numPr>
          <w:ilvl w:val="0"/>
          <w:numId w:val="2"/>
        </w:numPr>
        <w:tabs>
          <w:tab w:val="left" w:pos="709"/>
        </w:tabs>
        <w:spacing w:before="40" w:after="40" w:line="276" w:lineRule="auto"/>
        <w:ind w:left="709" w:hanging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TOGAF9 certified (2010)</w:t>
      </w:r>
    </w:p>
    <w:p w:rsidR="00E2109E" w:rsidRPr="00E56B19" w:rsidRDefault="00E2109E" w:rsidP="00E2109E">
      <w:pPr>
        <w:numPr>
          <w:ilvl w:val="0"/>
          <w:numId w:val="2"/>
        </w:numPr>
        <w:tabs>
          <w:tab w:val="left" w:pos="709"/>
        </w:tabs>
        <w:spacing w:before="40" w:after="40" w:line="276" w:lineRule="auto"/>
        <w:ind w:left="709" w:hanging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PRINCE2 practitioner (2009)</w:t>
      </w:r>
    </w:p>
    <w:p w:rsidR="00E2109E" w:rsidRDefault="00E2109E" w:rsidP="00E2109E">
      <w:pPr>
        <w:numPr>
          <w:ilvl w:val="0"/>
          <w:numId w:val="2"/>
        </w:numPr>
        <w:tabs>
          <w:tab w:val="left" w:pos="709"/>
        </w:tabs>
        <w:spacing w:before="40" w:after="40" w:line="276" w:lineRule="auto"/>
        <w:ind w:left="709" w:hanging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ISACA</w:t>
      </w:r>
    </w:p>
    <w:p w:rsidR="00E2109E" w:rsidRDefault="00E2109E" w:rsidP="00E2109E">
      <w:pPr>
        <w:spacing w:before="40" w:after="40" w:line="240" w:lineRule="atLeast"/>
        <w:ind w:left="360"/>
        <w:rPr>
          <w:rFonts w:cs="Arial"/>
          <w:sz w:val="22"/>
          <w:szCs w:val="22"/>
        </w:rPr>
      </w:pPr>
    </w:p>
    <w:p w:rsidR="00E2109E" w:rsidRPr="005D707B" w:rsidRDefault="00E2109E" w:rsidP="00E2109E">
      <w:pPr>
        <w:spacing w:before="120" w:after="120"/>
        <w:rPr>
          <w:b/>
          <w:sz w:val="22"/>
        </w:rPr>
      </w:pPr>
      <w:r>
        <w:rPr>
          <w:b/>
          <w:sz w:val="22"/>
        </w:rPr>
        <w:t>Strengths</w:t>
      </w:r>
    </w:p>
    <w:p w:rsidR="00E2109E" w:rsidRPr="00D508C8" w:rsidRDefault="00E2109E" w:rsidP="00E2109E">
      <w:pPr>
        <w:pStyle w:val="ListParagraph"/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b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Cross-domain Enterprise Architecture:  linking business motivators, services and processes to IT assets;</w:t>
      </w:r>
    </w:p>
    <w:p w:rsidR="00E2109E" w:rsidRPr="00D508C8" w:rsidRDefault="00E2109E" w:rsidP="00E2109E">
      <w:pPr>
        <w:pStyle w:val="ListParagraph"/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b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Technology-savvy strategic advisor;</w:t>
      </w:r>
    </w:p>
    <w:p w:rsidR="00E2109E" w:rsidRPr="00532DCE" w:rsidRDefault="00E2109E" w:rsidP="00E2109E">
      <w:pPr>
        <w:pStyle w:val="ListParagraph"/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b/>
          <w:szCs w:val="40"/>
          <w:lang w:eastAsia="en-AU"/>
        </w:rPr>
      </w:pPr>
      <w:r>
        <w:rPr>
          <w:rFonts w:ascii="Arial" w:eastAsia="Times New Roman" w:hAnsi="Arial" w:cs="Times New Roman"/>
          <w:szCs w:val="40"/>
          <w:lang w:eastAsia="en-AU"/>
        </w:rPr>
        <w:t>20 years’ consulting experience in IT Project delivery, from Governance down to programming team leadership.</w:t>
      </w:r>
    </w:p>
    <w:p w:rsidR="00C73FEF" w:rsidRDefault="00C73FEF">
      <w:bookmarkStart w:id="1" w:name="_GoBack"/>
      <w:bookmarkEnd w:id="1"/>
    </w:p>
    <w:sectPr w:rsidR="00C73FEF" w:rsidSect="005843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62BD4"/>
    <w:multiLevelType w:val="multilevel"/>
    <w:tmpl w:val="67CEE684"/>
    <w:lvl w:ilvl="0">
      <w:start w:val="1"/>
      <w:numFmt w:val="upperLetter"/>
      <w:pStyle w:val="Appendix1"/>
      <w:lvlText w:val="Appendix %1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560"/>
        </w:tabs>
        <w:ind w:left="1560" w:hanging="1276"/>
      </w:pPr>
      <w:rPr>
        <w:rFonts w:hint="default"/>
      </w:rPr>
    </w:lvl>
    <w:lvl w:ilvl="2">
      <w:start w:val="1"/>
      <w:numFmt w:val="decimal"/>
      <w:pStyle w:val="Appendix3"/>
      <w:lvlText w:val="%1.%2.%3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3">
      <w:start w:val="1"/>
      <w:numFmt w:val="decimal"/>
      <w:pStyle w:val="Appendix4"/>
      <w:lvlText w:val="%1.%2.%3.%4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2E4E1AC9"/>
    <w:multiLevelType w:val="hybridMultilevel"/>
    <w:tmpl w:val="A46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038C2"/>
    <w:multiLevelType w:val="hybridMultilevel"/>
    <w:tmpl w:val="6D3E6A7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86C44B1"/>
    <w:multiLevelType w:val="hybridMultilevel"/>
    <w:tmpl w:val="18A4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71DA"/>
    <w:multiLevelType w:val="hybridMultilevel"/>
    <w:tmpl w:val="D610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12155"/>
    <w:multiLevelType w:val="hybridMultilevel"/>
    <w:tmpl w:val="57920FDE"/>
    <w:lvl w:ilvl="0" w:tplc="0E6221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9E"/>
    <w:rsid w:val="005843E8"/>
    <w:rsid w:val="00C73FEF"/>
    <w:rsid w:val="00E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91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9E"/>
    <w:rPr>
      <w:rFonts w:ascii="Arial" w:eastAsia="Times New Roman" w:hAnsi="Arial" w:cs="Times New Roman"/>
      <w:sz w:val="20"/>
      <w:szCs w:val="4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next w:val="BodyText"/>
    <w:rsid w:val="00E2109E"/>
    <w:pPr>
      <w:keepNext/>
      <w:pageBreakBefore/>
      <w:numPr>
        <w:numId w:val="1"/>
      </w:numPr>
      <w:tabs>
        <w:tab w:val="left" w:pos="1843"/>
      </w:tabs>
      <w:spacing w:before="240" w:after="60"/>
    </w:pPr>
    <w:rPr>
      <w:rFonts w:ascii="Arial Bold" w:eastAsia="Times New Roman" w:hAnsi="Arial Bold" w:cs="Times New Roman"/>
      <w:b/>
      <w:sz w:val="28"/>
      <w:szCs w:val="40"/>
      <w:lang w:val="en-AU" w:eastAsia="en-AU"/>
    </w:rPr>
  </w:style>
  <w:style w:type="paragraph" w:customStyle="1" w:styleId="Appendix4">
    <w:name w:val="Appendix 4"/>
    <w:next w:val="BodyText"/>
    <w:rsid w:val="00E2109E"/>
    <w:pPr>
      <w:keepNext/>
      <w:numPr>
        <w:ilvl w:val="3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3">
    <w:name w:val="Appendix 3"/>
    <w:next w:val="BodyText"/>
    <w:rsid w:val="00E2109E"/>
    <w:pPr>
      <w:keepNext/>
      <w:numPr>
        <w:ilvl w:val="2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2">
    <w:name w:val="Appendix 2"/>
    <w:next w:val="BodyText"/>
    <w:rsid w:val="00E2109E"/>
    <w:pPr>
      <w:keepNext/>
      <w:numPr>
        <w:ilvl w:val="1"/>
        <w:numId w:val="1"/>
      </w:numPr>
      <w:tabs>
        <w:tab w:val="clear" w:pos="1560"/>
        <w:tab w:val="num" w:pos="1276"/>
      </w:tabs>
      <w:spacing w:before="240" w:after="60"/>
      <w:ind w:left="1276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styleId="ListParagraph">
    <w:name w:val="List Paragraph"/>
    <w:basedOn w:val="Normal"/>
    <w:uiPriority w:val="34"/>
    <w:qFormat/>
    <w:rsid w:val="00E2109E"/>
    <w:pPr>
      <w:numPr>
        <w:numId w:val="3"/>
      </w:numPr>
      <w:spacing w:before="120"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210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109E"/>
    <w:rPr>
      <w:rFonts w:ascii="Arial" w:eastAsia="Times New Roman" w:hAnsi="Arial" w:cs="Times New Roman"/>
      <w:sz w:val="20"/>
      <w:szCs w:val="40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9E"/>
    <w:rPr>
      <w:rFonts w:ascii="Arial" w:eastAsia="Times New Roman" w:hAnsi="Arial" w:cs="Times New Roman"/>
      <w:sz w:val="20"/>
      <w:szCs w:val="4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next w:val="BodyText"/>
    <w:rsid w:val="00E2109E"/>
    <w:pPr>
      <w:keepNext/>
      <w:pageBreakBefore/>
      <w:numPr>
        <w:numId w:val="1"/>
      </w:numPr>
      <w:tabs>
        <w:tab w:val="left" w:pos="1843"/>
      </w:tabs>
      <w:spacing w:before="240" w:after="60"/>
    </w:pPr>
    <w:rPr>
      <w:rFonts w:ascii="Arial Bold" w:eastAsia="Times New Roman" w:hAnsi="Arial Bold" w:cs="Times New Roman"/>
      <w:b/>
      <w:sz w:val="28"/>
      <w:szCs w:val="40"/>
      <w:lang w:val="en-AU" w:eastAsia="en-AU"/>
    </w:rPr>
  </w:style>
  <w:style w:type="paragraph" w:customStyle="1" w:styleId="Appendix4">
    <w:name w:val="Appendix 4"/>
    <w:next w:val="BodyText"/>
    <w:rsid w:val="00E2109E"/>
    <w:pPr>
      <w:keepNext/>
      <w:numPr>
        <w:ilvl w:val="3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3">
    <w:name w:val="Appendix 3"/>
    <w:next w:val="BodyText"/>
    <w:rsid w:val="00E2109E"/>
    <w:pPr>
      <w:keepNext/>
      <w:numPr>
        <w:ilvl w:val="2"/>
        <w:numId w:val="1"/>
      </w:numPr>
      <w:spacing w:before="240" w:after="60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customStyle="1" w:styleId="Appendix2">
    <w:name w:val="Appendix 2"/>
    <w:next w:val="BodyText"/>
    <w:rsid w:val="00E2109E"/>
    <w:pPr>
      <w:keepNext/>
      <w:numPr>
        <w:ilvl w:val="1"/>
        <w:numId w:val="1"/>
      </w:numPr>
      <w:tabs>
        <w:tab w:val="clear" w:pos="1560"/>
        <w:tab w:val="num" w:pos="1276"/>
      </w:tabs>
      <w:spacing w:before="240" w:after="60"/>
      <w:ind w:left="1276"/>
    </w:pPr>
    <w:rPr>
      <w:rFonts w:ascii="Arial Bold" w:eastAsia="Times New Roman" w:hAnsi="Arial Bold" w:cs="Times New Roman"/>
      <w:b/>
      <w:szCs w:val="40"/>
      <w:lang w:val="en-AU" w:eastAsia="en-AU"/>
    </w:rPr>
  </w:style>
  <w:style w:type="paragraph" w:styleId="ListParagraph">
    <w:name w:val="List Paragraph"/>
    <w:basedOn w:val="Normal"/>
    <w:uiPriority w:val="34"/>
    <w:qFormat/>
    <w:rsid w:val="00E2109E"/>
    <w:pPr>
      <w:numPr>
        <w:numId w:val="3"/>
      </w:numPr>
      <w:spacing w:before="120"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210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109E"/>
    <w:rPr>
      <w:rFonts w:ascii="Arial" w:eastAsia="Times New Roman" w:hAnsi="Arial" w:cs="Times New Roman"/>
      <w:sz w:val="20"/>
      <w:szCs w:val="4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Macintosh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Zane</dc:creator>
  <cp:keywords/>
  <dc:description/>
  <cp:lastModifiedBy>Nikolas Zane</cp:lastModifiedBy>
  <cp:revision>1</cp:revision>
  <dcterms:created xsi:type="dcterms:W3CDTF">2016-08-03T01:25:00Z</dcterms:created>
  <dcterms:modified xsi:type="dcterms:W3CDTF">2016-08-03T01:25:00Z</dcterms:modified>
</cp:coreProperties>
</file>