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6F0F" w14:textId="77777777" w:rsidR="001B0C67" w:rsidRDefault="001B0C67" w:rsidP="001B0C67">
      <w:pPr>
        <w:pStyle w:val="Heading3"/>
        <w:numPr>
          <w:ilvl w:val="1"/>
          <w:numId w:val="1"/>
        </w:numPr>
        <w:tabs>
          <w:tab w:val="num" w:pos="360"/>
        </w:tabs>
        <w:ind w:left="0" w:firstLine="0"/>
        <w:rPr>
          <w:b/>
          <w:bCs/>
          <w:color w:val="124F1A" w:themeColor="accent3" w:themeShade="BF"/>
        </w:rPr>
      </w:pPr>
      <w:r>
        <w:t xml:space="preserve">ARK </w:t>
      </w:r>
      <w:r w:rsidRPr="0019529F">
        <w:rPr>
          <w:b/>
          <w:bCs/>
          <w:color w:val="124F1A" w:themeColor="accent3" w:themeShade="BF"/>
        </w:rPr>
        <w:t>Project assumptions</w:t>
      </w:r>
    </w:p>
    <w:p w14:paraId="6C505894" w14:textId="77777777" w:rsidR="001B0C67" w:rsidRPr="0019529F" w:rsidRDefault="001B0C67" w:rsidP="001B0C67">
      <w:pPr>
        <w:ind w:left="1080"/>
        <w:jc w:val="both"/>
        <w:rPr>
          <w:b/>
          <w:bCs/>
        </w:rPr>
      </w:pPr>
      <w:r w:rsidRPr="0019529F">
        <w:rPr>
          <w:b/>
          <w:bCs/>
        </w:rPr>
        <w:t>ARK — Consolidated architectural assumptions</w:t>
      </w:r>
    </w:p>
    <w:p w14:paraId="61632691" w14:textId="77777777" w:rsidR="001B0C67" w:rsidRPr="0019529F" w:rsidRDefault="001B0C67" w:rsidP="001B0C67">
      <w:pPr>
        <w:ind w:left="1080"/>
        <w:jc w:val="both"/>
      </w:pPr>
      <w:r w:rsidRPr="0019529F">
        <w:t>I treated repeated recommendations and declared decisions as the current baseline. I excluded examples, vendor research, implementation alternatives, and unresolved questions.</w:t>
      </w:r>
    </w:p>
    <w:p w14:paraId="33CB6BCF" w14:textId="77777777" w:rsidR="001B0C67" w:rsidRPr="0019529F" w:rsidRDefault="001B0C67" w:rsidP="001B0C67">
      <w:pPr>
        <w:ind w:left="1080"/>
        <w:jc w:val="both"/>
        <w:rPr>
          <w:b/>
          <w:bCs/>
        </w:rPr>
      </w:pPr>
      <w:r w:rsidRPr="0019529F">
        <w:rPr>
          <w:b/>
          <w:bCs/>
        </w:rPr>
        <w:t>Product and architecture</w:t>
      </w:r>
    </w:p>
    <w:p w14:paraId="1DF3A397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is a multi-tenant AI capability platform</w:t>
      </w:r>
      <w:r w:rsidRPr="0019529F">
        <w:t xml:space="preserve">, not merely a collection of models behind APIs. Capabilities should be independently consumable, versioned, observable, metered, and potentially billable. </w:t>
      </w:r>
      <w:proofErr w:type="spellStart"/>
      <w:r w:rsidRPr="0019529F">
        <w:t>Centra_Organized</w:t>
      </w:r>
      <w:proofErr w:type="spellEnd"/>
      <w:r w:rsidRPr="0019529F">
        <w:t xml:space="preserve"> _version_1.docx (page 1)</w:t>
      </w:r>
    </w:p>
    <w:p w14:paraId="26D7A4F5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The initial architecture is a microservice-ready modular monolith:</w:t>
      </w:r>
      <w:r w:rsidRPr="0019529F">
        <w:t xml:space="preserve"> one repository, coordinated releases, and initially one PostgreSQL cluster, while API, scheduler, and capability workers may run as separate runtime roles.</w:t>
      </w:r>
    </w:p>
    <w:p w14:paraId="39E02152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Subservices/capabilities are independent business modules.</w:t>
      </w:r>
      <w:r w:rsidRPr="0019529F">
        <w:t xml:space="preserve"> Each owns its domain logic, configuration, contracts, persistence, migrations, model lifecycle, tests, monitoring rules, and runbooks. A capability must not import another capability’s internals, write its tables, or depend on its database models.</w:t>
      </w:r>
    </w:p>
    <w:p w14:paraId="666B2A38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Shared technical infrastructure is acceptable; shared business ownership is not.</w:t>
      </w:r>
      <w:r w:rsidRPr="0019529F">
        <w:t xml:space="preserve"> Database pools, tracing libraries, object-storage adapters, and similar utilities may be shared behind interfaces.</w:t>
      </w:r>
    </w:p>
    <w:p w14:paraId="383F819B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 module becomes a separate microservice only when justified</w:t>
      </w:r>
      <w:r w:rsidRPr="0019529F">
        <w:t xml:space="preserve"> by measured scaling, hardware, deployment, ownership, reliability, or compliance needs—not merely for architectural style. </w:t>
      </w:r>
      <w:proofErr w:type="spellStart"/>
      <w:r w:rsidRPr="0019529F">
        <w:t>Centra_Organized</w:t>
      </w:r>
      <w:proofErr w:type="spellEnd"/>
      <w:r w:rsidRPr="0019529F">
        <w:t xml:space="preserve"> _version_1.docx (page 4)</w:t>
      </w:r>
    </w:p>
    <w:p w14:paraId="775BFA49" w14:textId="77777777" w:rsidR="001B0C67" w:rsidRPr="0019529F" w:rsidRDefault="001B0C67" w:rsidP="001B0C6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The management/control plane and execution/data plane remain distinct.</w:t>
      </w:r>
      <w:r w:rsidRPr="0019529F">
        <w:t xml:space="preserve"> The former handles tenants, subscriptions, permissions, quotas, configuration, auditing, and billing; the latter performs ingestion, eligibility evaluation, ML execution, and result production.</w:t>
      </w:r>
    </w:p>
    <w:p w14:paraId="1E9DC0B3" w14:textId="77777777" w:rsidR="001B0C67" w:rsidRPr="0019529F" w:rsidRDefault="001B0C67" w:rsidP="001B0C67">
      <w:pPr>
        <w:ind w:left="1800"/>
        <w:jc w:val="both"/>
        <w:rPr>
          <w:b/>
          <w:bCs/>
        </w:rPr>
      </w:pPr>
      <w:r w:rsidRPr="0019529F">
        <w:rPr>
          <w:b/>
          <w:bCs/>
        </w:rPr>
        <w:t>Integration and contracts</w:t>
      </w:r>
    </w:p>
    <w:p w14:paraId="24F6685F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 xml:space="preserve">ARK’s core is platform-neutral and </w:t>
      </w:r>
      <w:proofErr w:type="spellStart"/>
      <w:r w:rsidRPr="0019529F">
        <w:rPr>
          <w:b/>
          <w:bCs/>
        </w:rPr>
        <w:t>adapterless</w:t>
      </w:r>
      <w:proofErr w:type="spellEnd"/>
      <w:r w:rsidRPr="0019529F">
        <w:rPr>
          <w:b/>
          <w:bCs/>
        </w:rPr>
        <w:t>.</w:t>
      </w:r>
      <w:r w:rsidRPr="0019529F">
        <w:t xml:space="preserve"> Direct, Whatson, POS, and future platforms translate their terminology and data into ARK contracts in adapters outside the capability core.</w:t>
      </w:r>
    </w:p>
    <w:p w14:paraId="1C0EDA15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The API gateway handles edge concerns only:</w:t>
      </w:r>
      <w:r w:rsidRPr="0019529F">
        <w:t xml:space="preserve"> authentication, routing, throttling, API versions, request-size limits, and request IDs. It does not contain normalization, scientific eligibility, or workflow logic. </w:t>
      </w:r>
      <w:proofErr w:type="spellStart"/>
      <w:r w:rsidRPr="0019529F">
        <w:t>Centra_Organized</w:t>
      </w:r>
      <w:proofErr w:type="spellEnd"/>
      <w:r w:rsidRPr="0019529F">
        <w:t xml:space="preserve"> _version_1.docx (page 9)</w:t>
      </w:r>
    </w:p>
    <w:p w14:paraId="00D11BBE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All capability requests share an operational envelope and lifecycle</w:t>
      </w:r>
      <w:r w:rsidRPr="0019529F">
        <w:t>, including tenant/caller context, request and idempotency IDs, execution mode, dataset references, callback configuration, job status, standard errors, and metering. Inputs, options, and outputs remain capability-specific.</w:t>
      </w:r>
    </w:p>
    <w:p w14:paraId="7121FFC4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uses small, bounded, versioned domain contracts and datasets</w:t>
      </w:r>
      <w:r w:rsidRPr="0019529F">
        <w:t xml:space="preserve">, rather than one enormous universal customer object. Contract, dataset, feature-schema, model, code, and execution versions are tracked independently for reproducibility. </w:t>
      </w:r>
      <w:proofErr w:type="spellStart"/>
      <w:r w:rsidRPr="0019529F">
        <w:t>Centra_Organized</w:t>
      </w:r>
      <w:proofErr w:type="spellEnd"/>
      <w:r w:rsidRPr="0019529F">
        <w:t xml:space="preserve"> _version_1.docx (page 15)</w:t>
      </w:r>
    </w:p>
    <w:p w14:paraId="405E07CD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Every capability publishes a machine-readable definition</w:t>
      </w:r>
      <w:r w:rsidRPr="0019529F">
        <w:t xml:space="preserve"> describing supported operations, required and optional inputs, thresholds, execution modes, outputs, dependencies, and available fallbacks.</w:t>
      </w:r>
    </w:p>
    <w:p w14:paraId="725E23C1" w14:textId="77777777" w:rsidR="001B0C67" w:rsidRPr="0019529F" w:rsidRDefault="001B0C67" w:rsidP="001B0C6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Dataset readiness and capability eligibility are different checks.</w:t>
      </w:r>
    </w:p>
    <w:p w14:paraId="208E8C9D" w14:textId="77777777" w:rsidR="001B0C67" w:rsidRPr="0019529F" w:rsidRDefault="001B0C67" w:rsidP="001B0C6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jc w:val="both"/>
      </w:pPr>
      <w:r w:rsidRPr="0019529F">
        <w:t>Ingestion determines whether data is contract-valid, normalized, fresh, policy-compliant, and usable.</w:t>
      </w:r>
    </w:p>
    <w:p w14:paraId="17B53349" w14:textId="77777777" w:rsidR="001B0C67" w:rsidRPr="0019529F" w:rsidRDefault="001B0C67" w:rsidP="001B0C6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jc w:val="both"/>
      </w:pPr>
      <w:r w:rsidRPr="0019529F">
        <w:t>ARK’s platform layer checks subscription, quota, dataset availability, and active model/version.</w:t>
      </w:r>
    </w:p>
    <w:p w14:paraId="1D7D3F9A" w14:textId="77777777" w:rsidR="001B0C67" w:rsidRPr="0019529F" w:rsidRDefault="001B0C67" w:rsidP="001B0C6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jc w:val="both"/>
      </w:pPr>
      <w:r w:rsidRPr="0019529F">
        <w:t>Each capability owns its scientific thresholds, model readiness, cold-start behavior, training permission, degradation, and fallback rules.</w:t>
      </w:r>
    </w:p>
    <w:p w14:paraId="68FDC6BE" w14:textId="77777777" w:rsidR="001B0C67" w:rsidRPr="0019529F" w:rsidRDefault="001B0C67" w:rsidP="001B0C6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jc w:val="both"/>
      </w:pPr>
      <w:r w:rsidRPr="0019529F">
        <w:t>ARK must explicitly return eligible, degraded, fallback, or ineligible outcomes; it must not silently invent unavailable data.</w:t>
      </w:r>
    </w:p>
    <w:p w14:paraId="6ABE5205" w14:textId="77777777" w:rsidR="001B0C67" w:rsidRPr="0019529F" w:rsidRDefault="001B0C67" w:rsidP="001B0C67">
      <w:pPr>
        <w:ind w:left="1800"/>
        <w:jc w:val="both"/>
        <w:rPr>
          <w:b/>
          <w:bCs/>
        </w:rPr>
      </w:pPr>
      <w:r w:rsidRPr="0019529F">
        <w:rPr>
          <w:b/>
          <w:bCs/>
        </w:rPr>
        <w:t>Ingestion and the ARK data lake</w:t>
      </w:r>
    </w:p>
    <w:p w14:paraId="225D7258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Subscription, data ingestion, and capability execution are separate interactions.</w:t>
      </w:r>
      <w:r w:rsidRPr="0019529F">
        <w:t xml:space="preserve"> Enabling Recommendation does not itself ingest data or run Recommendation. </w:t>
      </w:r>
      <w:proofErr w:type="spellStart"/>
      <w:r w:rsidRPr="0019529F">
        <w:t>Centra_Organized</w:t>
      </w:r>
      <w:proofErr w:type="spellEnd"/>
      <w:r w:rsidRPr="0019529F">
        <w:t xml:space="preserve"> _version_1.docx (page 17)</w:t>
      </w:r>
    </w:p>
    <w:p w14:paraId="75F85C5A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Push is the default ingestion approach.</w:t>
      </w:r>
    </w:p>
    <w:p w14:paraId="53FBE659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Push API for small incremental changes and micro-batches.</w:t>
      </w:r>
    </w:p>
    <w:p w14:paraId="01C0D5B4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Direct object-storage upload for initial loads, backfills, and large datasets.</w:t>
      </w:r>
    </w:p>
    <w:p w14:paraId="5DD3070C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Event streaming only when volume or latency genuinely requires it.</w:t>
      </w:r>
    </w:p>
    <w:p w14:paraId="03C23B18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Standard pull, federation/query-in-place, or external connectors are exceptions for platforms that cannot push or where residency rules prevent copying.</w:t>
      </w:r>
    </w:p>
    <w:p w14:paraId="4D61C921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 xml:space="preserve">Direct shared-database access is not a supported product integration. </w:t>
      </w:r>
      <w:proofErr w:type="spellStart"/>
      <w:r w:rsidRPr="0019529F">
        <w:t>Centra_Organized</w:t>
      </w:r>
      <w:proofErr w:type="spellEnd"/>
      <w:r w:rsidRPr="0019529F">
        <w:t xml:space="preserve"> _version_1.docx (page 20)</w:t>
      </w:r>
    </w:p>
    <w:p w14:paraId="3B6DE6C8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will have a data lake.</w:t>
      </w:r>
      <w:r w:rsidRPr="0019529F">
        <w:t xml:space="preserve"> At minimum, it provides:</w:t>
      </w:r>
    </w:p>
    <w:p w14:paraId="023B60CD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An immutable raw landing zone preserving original payloads/files.</w:t>
      </w:r>
    </w:p>
    <w:p w14:paraId="3AFD394B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Versioned canonical/curated datasets.</w:t>
      </w:r>
    </w:p>
    <w:p w14:paraId="1F8BBB28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Service-owned derived data, features, results, models, and artifacts.</w:t>
      </w:r>
    </w:p>
    <w:p w14:paraId="4E97ADE5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Lineage, quality reports, freshness, retention, and dataset-version metadata.</w:t>
      </w:r>
    </w:p>
    <w:p w14:paraId="2BF70528" w14:textId="77777777" w:rsidR="001B0C67" w:rsidRPr="0019529F" w:rsidRDefault="001B0C67" w:rsidP="001B0C67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jc w:val="both"/>
      </w:pPr>
      <w:r w:rsidRPr="0019529F">
        <w:t>PostgreSQL stores operational metadata, registry records, jobs, cursors, and state—not large historical payloads.</w:t>
      </w:r>
    </w:p>
    <w:p w14:paraId="3E8D96A3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Raw data is retained before normalization</w:t>
      </w:r>
      <w:r w:rsidRPr="0019529F">
        <w:t xml:space="preserve">, so failed transformations are reproducible and auditable. Data reaches capabilities only after authentication, registration, validation, normalization, quality assessment, policy enforcement, and publication of a ready immutable dataset version. </w:t>
      </w:r>
      <w:proofErr w:type="spellStart"/>
      <w:r w:rsidRPr="0019529F">
        <w:t>Centra_Organized</w:t>
      </w:r>
      <w:proofErr w:type="spellEnd"/>
      <w:r w:rsidRPr="0019529F">
        <w:t xml:space="preserve"> _version_1.docx (page 34)</w:t>
      </w:r>
    </w:p>
    <w:p w14:paraId="58D8D384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Ingestion is asynchronous and independently scalable.</w:t>
      </w:r>
      <w:r w:rsidRPr="0019529F">
        <w:t xml:space="preserve"> It supports idempotency, duplicate handling, incremental changes, </w:t>
      </w:r>
      <w:proofErr w:type="spellStart"/>
      <w:r w:rsidRPr="0019529F">
        <w:t>upserts</w:t>
      </w:r>
      <w:proofErr w:type="spellEnd"/>
      <w:r w:rsidRPr="0019529F">
        <w:t>, corrections, deletions/tombstones, reconciliation, watermarks/cursors, backpressure, freshness, and staleness.</w:t>
      </w:r>
    </w:p>
    <w:p w14:paraId="113742CD" w14:textId="77777777" w:rsidR="001B0C67" w:rsidRPr="0019529F" w:rsidRDefault="001B0C67" w:rsidP="001B0C6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 xml:space="preserve">Every dataset, artifact, storage path, and ingestion record </w:t>
      </w:r>
      <w:proofErr w:type="gramStart"/>
      <w:r w:rsidRPr="0019529F">
        <w:rPr>
          <w:b/>
          <w:bCs/>
        </w:rPr>
        <w:t>carries</w:t>
      </w:r>
      <w:proofErr w:type="gramEnd"/>
      <w:r w:rsidRPr="0019529F">
        <w:rPr>
          <w:b/>
          <w:bCs/>
        </w:rPr>
        <w:t xml:space="preserve"> tenant, source, dataset, version, and ingestion-run identity.</w:t>
      </w:r>
      <w:r w:rsidRPr="0019529F">
        <w:t xml:space="preserve"> Large request inputs and results are passed by reference; only small payloads may be inline.</w:t>
      </w:r>
    </w:p>
    <w:p w14:paraId="100A6FC4" w14:textId="77777777" w:rsidR="001B0C67" w:rsidRPr="0019529F" w:rsidRDefault="001B0C67" w:rsidP="001B0C67">
      <w:pPr>
        <w:ind w:left="1800"/>
        <w:jc w:val="both"/>
        <w:rPr>
          <w:b/>
          <w:bCs/>
        </w:rPr>
      </w:pPr>
      <w:r w:rsidRPr="0019529F">
        <w:rPr>
          <w:b/>
          <w:bCs/>
        </w:rPr>
        <w:t>Execution, orchestration, and proactive operation</w:t>
      </w:r>
    </w:p>
    <w:p w14:paraId="7B6E7C01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has one durable platform-level job manager</w:t>
      </w:r>
      <w:r w:rsidRPr="0019529F">
        <w:t xml:space="preserve">, not a separate lifecycle implementation per capability. Capabilities own their workers and computation, while the shared job layer owns state, retries, scheduling, cancellation, progress, idempotency, result locations, auditing, and notifications. </w:t>
      </w:r>
      <w:proofErr w:type="spellStart"/>
      <w:r w:rsidRPr="0019529F">
        <w:t>Centra_Organized</w:t>
      </w:r>
      <w:proofErr w:type="spellEnd"/>
      <w:r w:rsidRPr="0019529F">
        <w:t xml:space="preserve"> _version_1.docx (page 38)</w:t>
      </w:r>
    </w:p>
    <w:p w14:paraId="58982F58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PostgreSQL is initially the job system’s durable source of truth.</w:t>
      </w:r>
      <w:r w:rsidRPr="0019529F">
        <w:t xml:space="preserve"> Capability/resource-specific worker pools prevent training, backfills, or GPU workloads from blocking interactive work. A broker or Temporal may be introduced later when scale or workflow complexity justifies it.</w:t>
      </w:r>
    </w:p>
    <w:p w14:paraId="615D1BE8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Synchronous execution is reserved for short, predictable operations.</w:t>
      </w:r>
      <w:r w:rsidRPr="0019529F">
        <w:t xml:space="preserve"> Training, ingestion, backfills, large inference runs, scheduled work, and anything requiring retries execute as durable jobs. Workers assume at-least-once delivery and make side effects idempotent.</w:t>
      </w:r>
    </w:p>
    <w:p w14:paraId="4C04846C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The scheduler creates jobs; it does not execute capability pipelines.</w:t>
      </w:r>
      <w:r w:rsidRPr="0019529F">
        <w:t xml:space="preserve"> Cross-capability workflows create and observe child jobs through the job manager rather than invoking capability internals directly. Capability-internal pipelines remain private to their capability. </w:t>
      </w:r>
      <w:proofErr w:type="spellStart"/>
      <w:r w:rsidRPr="0019529F">
        <w:t>Centra_Organized</w:t>
      </w:r>
      <w:proofErr w:type="spellEnd"/>
      <w:r w:rsidRPr="0019529F">
        <w:t xml:space="preserve"> _version_1.docx (page 65)</w:t>
      </w:r>
    </w:p>
    <w:p w14:paraId="645907B6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supports permissioned proactive operation.</w:t>
      </w:r>
      <w:r w:rsidRPr="0019529F">
        <w:t xml:space="preserve"> A platform may issue a standing authorization for subscribed tasks, defining:</w:t>
      </w:r>
    </w:p>
    <w:p w14:paraId="4689C136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Permitted capability or workflow.</w:t>
      </w:r>
    </w:p>
    <w:p w14:paraId="2DC60444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Tenant and data scope.</w:t>
      </w:r>
    </w:p>
    <w:p w14:paraId="209E81C4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Execution interval or time window.</w:t>
      </w:r>
    </w:p>
    <w:p w14:paraId="7BE5069B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Thresholds and triggering conditions.</w:t>
      </w:r>
    </w:p>
    <w:p w14:paraId="1C3B5050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Capability-specific configuration.</w:t>
      </w:r>
    </w:p>
    <w:p w14:paraId="2A84C509" w14:textId="77777777" w:rsidR="001B0C67" w:rsidRPr="0019529F" w:rsidRDefault="001B0C67" w:rsidP="001B0C6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jc w:val="both"/>
      </w:pPr>
      <w:r w:rsidRPr="0019529F">
        <w:t>Quotas, cooldowns, validity period, and notification destination.</w:t>
      </w:r>
    </w:p>
    <w:p w14:paraId="4287B80C" w14:textId="77777777" w:rsidR="001B0C67" w:rsidRPr="0019529F" w:rsidRDefault="001B0C67" w:rsidP="001B0C6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Proactive execution follows a governed flow:</w:t>
      </w:r>
    </w:p>
    <w:p w14:paraId="6BAC6CAA" w14:textId="77777777" w:rsidR="001B0C67" w:rsidRPr="0019529F" w:rsidRDefault="001B0C67" w:rsidP="001B0C67">
      <w:pPr>
        <w:ind w:left="1800"/>
        <w:jc w:val="both"/>
      </w:pPr>
      <w:r w:rsidRPr="0019529F">
        <w:t>ML capability detects a condition → ARK validates the standing permission, threshold, freshness, quota, and deduplication rules → ARK creates an auditable job/workflow → authorized task runs → event/webhook is sent to the platform</w:t>
      </w:r>
    </w:p>
    <w:p w14:paraId="50D19A76" w14:textId="77777777" w:rsidR="001B0C67" w:rsidRPr="0019529F" w:rsidRDefault="001B0C67" w:rsidP="001B0C67">
      <w:pPr>
        <w:ind w:left="1800"/>
        <w:jc w:val="both"/>
      </w:pPr>
      <w:r w:rsidRPr="0019529F">
        <w:t xml:space="preserve">ARK performs only the actions explicitly included in the grant; </w:t>
      </w:r>
      <w:proofErr w:type="gramStart"/>
      <w:r w:rsidRPr="0019529F">
        <w:t>otherwise</w:t>
      </w:r>
      <w:proofErr w:type="gramEnd"/>
      <w:r w:rsidRPr="0019529F">
        <w:t xml:space="preserve"> it reports the finding without acting.</w:t>
      </w:r>
    </w:p>
    <w:p w14:paraId="141F7F81" w14:textId="77777777" w:rsidR="001B0C67" w:rsidRPr="0019529F" w:rsidRDefault="001B0C67" w:rsidP="001B0C67">
      <w:pPr>
        <w:ind w:left="1800"/>
        <w:jc w:val="both"/>
        <w:rPr>
          <w:b/>
          <w:bCs/>
        </w:rPr>
      </w:pPr>
      <w:r w:rsidRPr="0019529F">
        <w:rPr>
          <w:b/>
          <w:bCs/>
        </w:rPr>
        <w:t>Security, ownership, and operations</w:t>
      </w:r>
    </w:p>
    <w:p w14:paraId="176B3B27" w14:textId="77777777" w:rsidR="001B0C67" w:rsidRPr="0019529F" w:rsidRDefault="001B0C67" w:rsidP="001B0C6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Tenant identity comes from the authenticated principal</w:t>
      </w:r>
      <w:r w:rsidRPr="0019529F">
        <w:t xml:space="preserve">, never an untrusted request field. Tenant isolation applies to database rows, object paths, datasets, models, jobs, events, caches, quotas, audit records, and observability. PostgreSQL row-level security is defense in depth. </w:t>
      </w:r>
      <w:proofErr w:type="spellStart"/>
      <w:r w:rsidRPr="0019529F">
        <w:t>Centra_Organized</w:t>
      </w:r>
      <w:proofErr w:type="spellEnd"/>
      <w:r w:rsidRPr="0019529F">
        <w:t xml:space="preserve"> _version_1.docx (page 42)</w:t>
      </w:r>
    </w:p>
    <w:p w14:paraId="07C8FEFE" w14:textId="77777777" w:rsidR="001B0C67" w:rsidRPr="0019529F" w:rsidRDefault="001B0C67" w:rsidP="001B0C6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The initially shared database is logically partitioned by module-owned schemas.</w:t>
      </w:r>
      <w:r w:rsidRPr="0019529F">
        <w:t xml:space="preserve"> Every table has exactly one authoritative writer. Other modules use public APIs, approved read models/views, or events—never cross-module writes or unrestricted SQL joins. </w:t>
      </w:r>
      <w:proofErr w:type="spellStart"/>
      <w:r w:rsidRPr="0019529F">
        <w:t>Centra_Organized</w:t>
      </w:r>
      <w:proofErr w:type="spellEnd"/>
      <w:r w:rsidRPr="0019529F">
        <w:t xml:space="preserve"> _version_1.docx (page 45)</w:t>
      </w:r>
    </w:p>
    <w:p w14:paraId="44EB161D" w14:textId="77777777" w:rsidR="001B0C67" w:rsidRPr="0019529F" w:rsidRDefault="001B0C67" w:rsidP="001B0C6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Internal events and external notifications are different mechanisms.</w:t>
      </w:r>
      <w:r w:rsidRPr="0019529F">
        <w:t xml:space="preserve"> Events coordinate work inside ARK; signed webhooks or outward-facing events notify platforms. Reliable publication eventually uses a transactional outbox.</w:t>
      </w:r>
    </w:p>
    <w:p w14:paraId="09BC2716" w14:textId="77777777" w:rsidR="001B0C67" w:rsidRPr="0019529F" w:rsidRDefault="001B0C67" w:rsidP="001B0C6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Audit, observability, lineage, secrets management, usage metering, and cost tracking are platform-wide concerns.</w:t>
      </w:r>
      <w:r w:rsidRPr="0019529F">
        <w:t xml:space="preserve"> Every output should be traceable to its tenant, source contract, dataset, feature schema, model, code version, and execution.</w:t>
      </w:r>
    </w:p>
    <w:p w14:paraId="12343496" w14:textId="77777777" w:rsidR="001B0C67" w:rsidRPr="0019529F" w:rsidRDefault="001B0C67" w:rsidP="001B0C6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</w:pPr>
      <w:r w:rsidRPr="0019529F">
        <w:rPr>
          <w:b/>
          <w:bCs/>
        </w:rPr>
        <w:t>ARK minimizes unnecessary PII.</w:t>
      </w:r>
      <w:r w:rsidRPr="0019529F">
        <w:t xml:space="preserve"> Capabilities operate on tenant-scoped opaque identifiers where possible; names, phones, and presentation data remain with the consuming platform unless explicitly required.</w:t>
      </w:r>
    </w:p>
    <w:p w14:paraId="77D21DCE" w14:textId="77777777" w:rsidR="001B0C67" w:rsidRPr="0019529F" w:rsidRDefault="001B0C67" w:rsidP="001B0C67">
      <w:pPr>
        <w:ind w:left="1800"/>
        <w:jc w:val="both"/>
      </w:pPr>
      <w:r w:rsidRPr="0019529F">
        <w:t>Two document inconsistencies are now resolved by this baseline:</w:t>
      </w:r>
    </w:p>
    <w:p w14:paraId="52CE5455" w14:textId="77777777" w:rsidR="001B0C67" w:rsidRPr="0019529F" w:rsidRDefault="001B0C67" w:rsidP="001B0C6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</w:pPr>
      <w:r w:rsidRPr="0019529F">
        <w:t>Push—not pull—is the default ingestion model.</w:t>
      </w:r>
    </w:p>
    <w:p w14:paraId="50861B51" w14:textId="77777777" w:rsidR="001B0C67" w:rsidRPr="0019529F" w:rsidRDefault="001B0C67" w:rsidP="001B0C6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</w:pPr>
      <w:r w:rsidRPr="0019529F">
        <w:t>One shared job manager owns job lifecycle; each capability owns its worker and business logic, not a separate job-management system.</w:t>
      </w:r>
    </w:p>
    <w:p w14:paraId="43D2D57B" w14:textId="77777777" w:rsidR="001B0C67" w:rsidRPr="0019529F" w:rsidRDefault="001B0C67" w:rsidP="001B0C67">
      <w:pPr>
        <w:ind w:left="1080"/>
        <w:jc w:val="both"/>
      </w:pPr>
    </w:p>
    <w:p w14:paraId="2077B6AD" w14:textId="0A54AE79" w:rsidR="00B21D49" w:rsidRDefault="00B21D49"/>
    <w:sectPr w:rsidR="00B21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66F"/>
    <w:multiLevelType w:val="multilevel"/>
    <w:tmpl w:val="91A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1E7"/>
    <w:multiLevelType w:val="multilevel"/>
    <w:tmpl w:val="CA70A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2AAE"/>
    <w:multiLevelType w:val="multilevel"/>
    <w:tmpl w:val="376A340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32552"/>
    <w:multiLevelType w:val="multilevel"/>
    <w:tmpl w:val="C4581D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C7206"/>
    <w:multiLevelType w:val="multilevel"/>
    <w:tmpl w:val="4F6679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F3666"/>
    <w:multiLevelType w:val="hybridMultilevel"/>
    <w:tmpl w:val="670CC7F2"/>
    <w:lvl w:ilvl="0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26054"/>
    <w:multiLevelType w:val="multilevel"/>
    <w:tmpl w:val="8626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483406">
    <w:abstractNumId w:val="5"/>
  </w:num>
  <w:num w:numId="2" w16cid:durableId="303051352">
    <w:abstractNumId w:val="6"/>
  </w:num>
  <w:num w:numId="3" w16cid:durableId="1396970982">
    <w:abstractNumId w:val="1"/>
  </w:num>
  <w:num w:numId="4" w16cid:durableId="654837752">
    <w:abstractNumId w:val="3"/>
  </w:num>
  <w:num w:numId="5" w16cid:durableId="204415269">
    <w:abstractNumId w:val="4"/>
  </w:num>
  <w:num w:numId="6" w16cid:durableId="99958127">
    <w:abstractNumId w:val="2"/>
  </w:num>
  <w:num w:numId="7" w16cid:durableId="15245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67"/>
    <w:rsid w:val="001B0C67"/>
    <w:rsid w:val="005A4040"/>
    <w:rsid w:val="00B21D49"/>
    <w:rsid w:val="00F4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4803"/>
  <w15:chartTrackingRefBased/>
  <w15:docId w15:val="{4305FA59-D4D3-4E2B-B333-3B801CDC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C67"/>
  </w:style>
  <w:style w:type="paragraph" w:styleId="Heading1">
    <w:name w:val="heading 1"/>
    <w:basedOn w:val="Normal"/>
    <w:next w:val="Normal"/>
    <w:link w:val="Heading1Char"/>
    <w:uiPriority w:val="9"/>
    <w:qFormat/>
    <w:rsid w:val="001B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1344</Words>
  <Characters>7665</Characters>
  <Application>Microsoft Office Word</Application>
  <DocSecurity>0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 AI</dc:creator>
  <cp:keywords/>
  <dc:description/>
  <cp:lastModifiedBy>AFE AI</cp:lastModifiedBy>
  <cp:revision>1</cp:revision>
  <dcterms:created xsi:type="dcterms:W3CDTF">2026-08-11T08:20:00Z</dcterms:created>
  <dcterms:modified xsi:type="dcterms:W3CDTF">2026-08-11T08:20:00Z</dcterms:modified>
</cp:coreProperties>
</file>