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7CE" w:rsidRPr="0002792E" w:rsidRDefault="00B037CE" w:rsidP="00D81E2E">
      <w:pPr>
        <w:autoSpaceDE w:val="0"/>
        <w:autoSpaceDN w:val="0"/>
        <w:adjustRightInd w:val="0"/>
        <w:jc w:val="center"/>
        <w:rPr>
          <w:b/>
          <w:bCs/>
          <w:color w:val="333333"/>
          <w:sz w:val="22"/>
          <w:szCs w:val="22"/>
        </w:rPr>
      </w:pPr>
      <w:r w:rsidRPr="0002792E">
        <w:rPr>
          <w:b/>
          <w:bCs/>
          <w:color w:val="333333"/>
          <w:sz w:val="22"/>
          <w:szCs w:val="22"/>
        </w:rPr>
        <w:t xml:space="preserve">PROCEDURE </w:t>
      </w:r>
      <w:r w:rsidR="00E46375">
        <w:rPr>
          <w:b/>
          <w:bCs/>
          <w:color w:val="333333"/>
          <w:sz w:val="22"/>
          <w:szCs w:val="22"/>
        </w:rPr>
        <w:t>NOTE</w:t>
      </w:r>
      <w:r w:rsidRPr="0002792E">
        <w:rPr>
          <w:b/>
          <w:bCs/>
          <w:color w:val="333333"/>
          <w:sz w:val="22"/>
          <w:szCs w:val="22"/>
        </w:rPr>
        <w:t xml:space="preserve">: </w:t>
      </w:r>
      <w:bookmarkStart w:id="0" w:name="Side"/>
      <w:bookmarkEnd w:id="0"/>
      <w:r>
        <w:rPr>
          <w:b/>
          <w:bCs/>
          <w:color w:val="333333"/>
          <w:sz w:val="22"/>
          <w:szCs w:val="22"/>
        </w:rPr>
        <w:t>Cervical t</w:t>
      </w:r>
      <w:r w:rsidRPr="0002792E">
        <w:rPr>
          <w:b/>
          <w:bCs/>
          <w:color w:val="333333"/>
          <w:sz w:val="22"/>
          <w:szCs w:val="22"/>
        </w:rPr>
        <w:t xml:space="preserve">rigger point injections under </w:t>
      </w:r>
      <w:r>
        <w:rPr>
          <w:b/>
          <w:bCs/>
          <w:color w:val="333333"/>
          <w:sz w:val="22"/>
          <w:szCs w:val="22"/>
        </w:rPr>
        <w:t>ultrasound g</w:t>
      </w:r>
      <w:r w:rsidRPr="0002792E">
        <w:rPr>
          <w:b/>
          <w:bCs/>
          <w:color w:val="333333"/>
          <w:sz w:val="22"/>
          <w:szCs w:val="22"/>
        </w:rPr>
        <w:t>uidance</w:t>
      </w:r>
    </w:p>
    <w:p w:rsidR="00B037CE" w:rsidRPr="0002792E" w:rsidRDefault="00B037CE" w:rsidP="00D81E2E">
      <w:pPr>
        <w:autoSpaceDE w:val="0"/>
        <w:autoSpaceDN w:val="0"/>
        <w:adjustRightInd w:val="0"/>
        <w:jc w:val="center"/>
        <w:rPr>
          <w:b/>
          <w:bCs/>
          <w:color w:val="333333"/>
          <w:sz w:val="22"/>
          <w:szCs w:val="22"/>
        </w:rPr>
      </w:pPr>
    </w:p>
    <w:p w:rsidR="005D2494" w:rsidRPr="00A85970" w:rsidRDefault="005D2494" w:rsidP="00D81E2E">
      <w:pPr>
        <w:tabs>
          <w:tab w:val="left" w:pos="1440"/>
          <w:tab w:val="left" w:pos="6480"/>
        </w:tabs>
        <w:rPr>
          <w:i/>
          <w:sz w:val="22"/>
          <w:szCs w:val="22"/>
        </w:rPr>
      </w:pPr>
      <w:r w:rsidRPr="00A85970">
        <w:rPr>
          <w:b/>
          <w:sz w:val="22"/>
          <w:szCs w:val="22"/>
        </w:rPr>
        <w:t xml:space="preserve">Name: </w:t>
      </w:r>
      <w:r w:rsidRPr="00A85970">
        <w:rPr>
          <w:b/>
          <w:sz w:val="22"/>
          <w:szCs w:val="22"/>
        </w:rPr>
        <w:tab/>
      </w:r>
      <w:bookmarkStart w:id="1" w:name="pname"/>
      <w:bookmarkEnd w:id="1"/>
      <w:r w:rsidRPr="00A85970">
        <w:rPr>
          <w:b/>
          <w:sz w:val="22"/>
          <w:szCs w:val="22"/>
        </w:rPr>
        <w:tab/>
        <w:t>Date:</w:t>
      </w:r>
      <w:r w:rsidRPr="00A85970">
        <w:rPr>
          <w:b/>
          <w:sz w:val="22"/>
          <w:szCs w:val="22"/>
        </w:rPr>
        <w:tab/>
      </w:r>
      <w:bookmarkStart w:id="2" w:name="examdate"/>
      <w:bookmarkEnd w:id="2"/>
    </w:p>
    <w:p w:rsidR="005D2494" w:rsidRPr="00A85970" w:rsidRDefault="005D2494" w:rsidP="00D81E2E">
      <w:pPr>
        <w:tabs>
          <w:tab w:val="left" w:pos="1440"/>
          <w:tab w:val="left" w:pos="6480"/>
        </w:tabs>
        <w:rPr>
          <w:sz w:val="22"/>
          <w:szCs w:val="22"/>
        </w:rPr>
      </w:pPr>
      <w:r w:rsidRPr="00A85970">
        <w:rPr>
          <w:b/>
          <w:sz w:val="22"/>
          <w:szCs w:val="22"/>
        </w:rPr>
        <w:t xml:space="preserve">Location:  </w:t>
      </w:r>
      <w:r w:rsidRPr="00A85970">
        <w:rPr>
          <w:b/>
          <w:sz w:val="22"/>
          <w:szCs w:val="22"/>
        </w:rPr>
        <w:tab/>
      </w:r>
      <w:bookmarkStart w:id="3" w:name="locperformed"/>
      <w:bookmarkEnd w:id="3"/>
      <w:r w:rsidRPr="00A85970">
        <w:rPr>
          <w:b/>
          <w:sz w:val="22"/>
          <w:szCs w:val="22"/>
        </w:rPr>
        <w:tab/>
        <w:t>DOB:</w:t>
      </w:r>
      <w:r w:rsidRPr="00A85970">
        <w:rPr>
          <w:b/>
          <w:sz w:val="22"/>
          <w:szCs w:val="22"/>
        </w:rPr>
        <w:tab/>
      </w:r>
      <w:bookmarkStart w:id="4" w:name="DOB"/>
      <w:bookmarkEnd w:id="4"/>
    </w:p>
    <w:p w:rsidR="00B037CE" w:rsidRPr="0002792E" w:rsidRDefault="00B037CE" w:rsidP="00D81E2E">
      <w:pPr>
        <w:autoSpaceDE w:val="0"/>
        <w:autoSpaceDN w:val="0"/>
        <w:adjustRightInd w:val="0"/>
        <w:rPr>
          <w:color w:val="000000"/>
          <w:sz w:val="22"/>
          <w:szCs w:val="22"/>
        </w:rPr>
      </w:pPr>
    </w:p>
    <w:p w:rsidR="00B037CE" w:rsidRPr="0002792E" w:rsidRDefault="00B037CE" w:rsidP="00D81E2E">
      <w:pPr>
        <w:autoSpaceDE w:val="0"/>
        <w:autoSpaceDN w:val="0"/>
        <w:adjustRightInd w:val="0"/>
        <w:rPr>
          <w:color w:val="000000"/>
          <w:sz w:val="22"/>
          <w:szCs w:val="22"/>
        </w:rPr>
      </w:pPr>
      <w:r w:rsidRPr="003A2C64">
        <w:rPr>
          <w:b/>
          <w:color w:val="000000"/>
          <w:sz w:val="22"/>
          <w:szCs w:val="22"/>
        </w:rPr>
        <w:t>Diagnosis:</w:t>
      </w:r>
      <w:r w:rsidRPr="0002792E">
        <w:rPr>
          <w:color w:val="000000"/>
          <w:sz w:val="22"/>
          <w:szCs w:val="22"/>
        </w:rPr>
        <w:t xml:space="preserve"> Myofascial pain syndrome </w:t>
      </w:r>
      <w:r w:rsidR="00D50827">
        <w:rPr>
          <w:color w:val="000000"/>
          <w:sz w:val="22"/>
          <w:szCs w:val="22"/>
        </w:rPr>
        <w:t>M79.1</w:t>
      </w:r>
      <w:r w:rsidRPr="0002792E">
        <w:rPr>
          <w:color w:val="000000"/>
          <w:sz w:val="22"/>
          <w:szCs w:val="22"/>
        </w:rPr>
        <w:t xml:space="preserve">, Myofascial trigger point </w:t>
      </w:r>
      <w:r w:rsidR="00D50827">
        <w:rPr>
          <w:color w:val="000000"/>
          <w:sz w:val="22"/>
          <w:szCs w:val="22"/>
        </w:rPr>
        <w:t>M79.1</w:t>
      </w:r>
      <w:r w:rsidRPr="0002792E">
        <w:rPr>
          <w:color w:val="000000"/>
          <w:sz w:val="22"/>
          <w:szCs w:val="22"/>
        </w:rPr>
        <w:t>, Muscle Spasms</w:t>
      </w:r>
    </w:p>
    <w:p w:rsidR="00B037CE" w:rsidRPr="0002792E" w:rsidRDefault="00B037CE" w:rsidP="00D81E2E">
      <w:pPr>
        <w:autoSpaceDE w:val="0"/>
        <w:autoSpaceDN w:val="0"/>
        <w:adjustRightInd w:val="0"/>
        <w:rPr>
          <w:color w:val="000000"/>
          <w:sz w:val="22"/>
          <w:szCs w:val="22"/>
        </w:rPr>
      </w:pPr>
    </w:p>
    <w:p w:rsidR="00B037CE" w:rsidRDefault="003A2C64" w:rsidP="00D81E2E">
      <w:pPr>
        <w:autoSpaceDE w:val="0"/>
        <w:autoSpaceDN w:val="0"/>
        <w:adjustRightInd w:val="0"/>
        <w:rPr>
          <w:color w:val="000000"/>
          <w:sz w:val="22"/>
          <w:szCs w:val="22"/>
        </w:rPr>
      </w:pPr>
      <w:r w:rsidRPr="0091571C">
        <w:rPr>
          <w:b/>
          <w:color w:val="000000"/>
          <w:sz w:val="22"/>
          <w:szCs w:val="22"/>
        </w:rPr>
        <w:t>Procedure</w:t>
      </w:r>
      <w:r>
        <w:rPr>
          <w:b/>
          <w:color w:val="000000"/>
          <w:sz w:val="22"/>
          <w:szCs w:val="22"/>
        </w:rPr>
        <w:t>:</w:t>
      </w:r>
      <w:r w:rsidR="00B037CE" w:rsidRPr="0002792E">
        <w:rPr>
          <w:color w:val="000000"/>
          <w:sz w:val="22"/>
          <w:szCs w:val="22"/>
        </w:rPr>
        <w:t xml:space="preserve">Trigger point injection of the </w:t>
      </w:r>
      <w:bookmarkStart w:id="5" w:name="C34"/>
      <w:bookmarkStart w:id="6" w:name="Levels"/>
      <w:bookmarkEnd w:id="5"/>
      <w:bookmarkEnd w:id="6"/>
      <w:r w:rsidR="00B037CE" w:rsidRPr="0002792E">
        <w:rPr>
          <w:color w:val="000000"/>
          <w:sz w:val="22"/>
          <w:szCs w:val="22"/>
        </w:rPr>
        <w:t>muscle(s)</w:t>
      </w:r>
      <w:r w:rsidR="005D2494">
        <w:rPr>
          <w:color w:val="000000"/>
          <w:sz w:val="22"/>
          <w:szCs w:val="22"/>
        </w:rPr>
        <w:t>:</w:t>
      </w:r>
      <w:bookmarkStart w:id="7" w:name="_GoBack"/>
      <w:bookmarkEnd w:id="7"/>
    </w:p>
    <w:p w:rsidR="005D2494" w:rsidRDefault="005D2494" w:rsidP="00D81E2E">
      <w:pPr>
        <w:autoSpaceDE w:val="0"/>
        <w:autoSpaceDN w:val="0"/>
        <w:adjustRightInd w:val="0"/>
        <w:rPr>
          <w:color w:val="000000"/>
          <w:sz w:val="22"/>
          <w:szCs w:val="22"/>
        </w:rPr>
      </w:pPr>
    </w:p>
    <w:p w:rsidR="004B6CF2" w:rsidRPr="00EA6C9F" w:rsidRDefault="004B6CF2" w:rsidP="00D81E2E">
      <w:pPr>
        <w:autoSpaceDE w:val="0"/>
        <w:autoSpaceDN w:val="0"/>
        <w:adjustRightInd w:val="0"/>
        <w:rPr>
          <w:rFonts w:ascii="TimesNewRoman" w:hAnsi="TimesNewRoman" w:cs="TimesNewRoman"/>
          <w:b/>
          <w:color w:val="000000"/>
          <w:sz w:val="22"/>
          <w:szCs w:val="22"/>
        </w:rPr>
      </w:pPr>
      <w:bookmarkStart w:id="8" w:name="Muscle"/>
      <w:bookmarkEnd w:id="8"/>
    </w:p>
    <w:p w:rsidR="00000A71" w:rsidRPr="00DD19E4" w:rsidRDefault="00000A71" w:rsidP="00D81E2E">
      <w:pPr>
        <w:autoSpaceDE w:val="0"/>
        <w:autoSpaceDN w:val="0"/>
        <w:adjustRightInd w:val="0"/>
        <w:rPr>
          <w:rFonts w:ascii="TimesNewRoman" w:hAnsi="TimesNewRoman" w:cs="TimesNewRoman"/>
          <w:color w:val="000000"/>
          <w:sz w:val="22"/>
          <w:szCs w:val="22"/>
        </w:rPr>
      </w:pPr>
    </w:p>
    <w:p w:rsidR="00CF5D74" w:rsidRPr="00DD19E4" w:rsidRDefault="00CF5D74" w:rsidP="00D81E2E">
      <w:pPr>
        <w:rPr>
          <w:sz w:val="22"/>
          <w:szCs w:val="22"/>
        </w:rPr>
      </w:pPr>
      <w:r w:rsidRPr="003A2C64">
        <w:rPr>
          <w:b/>
          <w:sz w:val="22"/>
          <w:szCs w:val="22"/>
        </w:rPr>
        <w:t>Technique:</w:t>
      </w:r>
      <w:r w:rsidRPr="00DD19E4">
        <w:rPr>
          <w:sz w:val="22"/>
          <w:szCs w:val="22"/>
        </w:rPr>
        <w:t xml:space="preserve"> After obtaining informed consent, the </w:t>
      </w:r>
      <w:r w:rsidR="00D81E2E">
        <w:rPr>
          <w:sz w:val="22"/>
          <w:szCs w:val="22"/>
        </w:rPr>
        <w:t>patient's</w:t>
      </w:r>
      <w:r w:rsidRPr="00DD19E4">
        <w:rPr>
          <w:sz w:val="22"/>
          <w:szCs w:val="22"/>
        </w:rPr>
        <w:t xml:space="preserve"> muscle(s) were palpated for the painful area of complaint.</w:t>
      </w:r>
    </w:p>
    <w:p w:rsidR="00CF5D74" w:rsidRPr="00DD19E4" w:rsidRDefault="00CF5D74" w:rsidP="00D81E2E">
      <w:pPr>
        <w:rPr>
          <w:sz w:val="22"/>
          <w:szCs w:val="22"/>
        </w:rPr>
      </w:pPr>
    </w:p>
    <w:p w:rsidR="00CF5D74" w:rsidRPr="00DD19E4" w:rsidRDefault="00CF5D74" w:rsidP="00D81E2E">
      <w:pPr>
        <w:rPr>
          <w:sz w:val="22"/>
          <w:szCs w:val="22"/>
        </w:rPr>
      </w:pPr>
      <w:r w:rsidRPr="00DD19E4">
        <w:rPr>
          <w:sz w:val="22"/>
          <w:szCs w:val="22"/>
        </w:rPr>
        <w:t>An exquisitely painful area of the above muscles was detected. Palpation over this taut band of muscle caused a twitch response and a referred pain pattern. At this time, the area was marked and sprayed with topical ethyl chloride.  The medication combination below was drawn using a 22 gauge 1 ½ inch needl</w:t>
      </w:r>
      <w:r w:rsidR="0053475D">
        <w:rPr>
          <w:sz w:val="22"/>
          <w:szCs w:val="22"/>
        </w:rPr>
        <w:t>e.  The skin was prepped and a 27</w:t>
      </w:r>
      <w:r w:rsidRPr="00DD19E4">
        <w:rPr>
          <w:sz w:val="22"/>
          <w:szCs w:val="22"/>
        </w:rPr>
        <w:t xml:space="preserve"> gauge 1</w:t>
      </w:r>
      <w:r w:rsidR="0053475D">
        <w:rPr>
          <w:sz w:val="22"/>
          <w:szCs w:val="22"/>
        </w:rPr>
        <w:t>1/4</w:t>
      </w:r>
      <w:r w:rsidRPr="00DD19E4">
        <w:rPr>
          <w:sz w:val="22"/>
          <w:szCs w:val="22"/>
        </w:rPr>
        <w:t xml:space="preserve"> inch needle replaced the 22 gauge needle, which was then introduced through the skin and subcutaneous tissues down into the taut band of muscle.  After aspiration to make sure that the needle was not inside a vessel, a mixture of the following medication was injected in the above trigger point regions.</w:t>
      </w:r>
    </w:p>
    <w:p w:rsidR="00CF5D74" w:rsidRDefault="00CF5D74" w:rsidP="00D81E2E">
      <w:pPr>
        <w:rPr>
          <w:sz w:val="22"/>
          <w:szCs w:val="22"/>
        </w:rPr>
      </w:pPr>
    </w:p>
    <w:p w:rsidR="002A50C9" w:rsidRDefault="002A50C9" w:rsidP="00D81E2E">
      <w:pPr>
        <w:rPr>
          <w:b/>
          <w:sz w:val="22"/>
          <w:szCs w:val="22"/>
        </w:rPr>
      </w:pPr>
      <w:bookmarkStart w:id="9" w:name="Medications"/>
      <w:bookmarkEnd w:id="9"/>
      <w:r>
        <w:rPr>
          <w:b/>
          <w:sz w:val="22"/>
          <w:szCs w:val="22"/>
        </w:rPr>
        <w:t xml:space="preserve">2 ml_ of 1% lidocaine </w:t>
      </w:r>
      <w:r>
        <w:rPr>
          <w:b/>
          <w:sz w:val="22"/>
          <w:szCs w:val="22"/>
        </w:rPr>
        <w:tab/>
      </w:r>
      <w:r>
        <w:rPr>
          <w:b/>
          <w:sz w:val="22"/>
          <w:szCs w:val="22"/>
        </w:rPr>
        <w:tab/>
      </w:r>
      <w:r>
        <w:rPr>
          <w:b/>
          <w:sz w:val="22"/>
          <w:szCs w:val="22"/>
        </w:rPr>
        <w:tab/>
      </w:r>
      <w:r>
        <w:rPr>
          <w:b/>
          <w:sz w:val="22"/>
          <w:szCs w:val="22"/>
        </w:rPr>
        <w:tab/>
        <w:t>1mL of toradol 30 mg/mL</w:t>
      </w:r>
      <w:r>
        <w:rPr>
          <w:b/>
          <w:sz w:val="22"/>
          <w:szCs w:val="22"/>
        </w:rPr>
        <w:tab/>
      </w:r>
    </w:p>
    <w:p w:rsidR="002A50C9" w:rsidRDefault="002A50C9" w:rsidP="00D81E2E">
      <w:pPr>
        <w:rPr>
          <w:b/>
        </w:rPr>
      </w:pPr>
      <w:r>
        <w:rPr>
          <w:b/>
          <w:sz w:val="22"/>
          <w:szCs w:val="22"/>
        </w:rPr>
        <w:t>1 ml of dexamethasone 4 mg/ml</w:t>
      </w:r>
      <w:r>
        <w:rPr>
          <w:b/>
          <w:sz w:val="22"/>
          <w:szCs w:val="22"/>
        </w:rPr>
        <w:tab/>
      </w:r>
      <w:r>
        <w:rPr>
          <w:b/>
          <w:sz w:val="22"/>
          <w:szCs w:val="22"/>
        </w:rPr>
        <w:tab/>
      </w:r>
      <w:r>
        <w:rPr>
          <w:b/>
          <w:color w:val="1B2733"/>
          <w:sz w:val="22"/>
          <w:szCs w:val="22"/>
          <w:shd w:val="clear" w:color="auto" w:fill="FFFFFF"/>
        </w:rPr>
        <w:t>2 ml 0.25% Marcaine</w:t>
      </w:r>
    </w:p>
    <w:p w:rsidR="00000A71" w:rsidRPr="00DD19E4" w:rsidRDefault="00000A71" w:rsidP="00D81E2E">
      <w:pPr>
        <w:rPr>
          <w:sz w:val="22"/>
          <w:szCs w:val="22"/>
        </w:rPr>
      </w:pPr>
    </w:p>
    <w:p w:rsidR="00CC0CC2" w:rsidRDefault="00CC0CC2" w:rsidP="00D81E2E">
      <w:pPr>
        <w:rPr>
          <w:sz w:val="22"/>
          <w:szCs w:val="22"/>
        </w:rPr>
      </w:pPr>
      <w:r>
        <w:rPr>
          <w:sz w:val="22"/>
          <w:szCs w:val="22"/>
        </w:rPr>
        <w:t xml:space="preserve">The mixture was injected after </w:t>
      </w:r>
      <w:r>
        <w:rPr>
          <w:b/>
          <w:sz w:val="22"/>
          <w:szCs w:val="22"/>
          <w:u w:val="single"/>
        </w:rPr>
        <w:t>aspiration was negative for blood or air</w:t>
      </w:r>
      <w:r>
        <w:rPr>
          <w:b/>
          <w:sz w:val="22"/>
          <w:szCs w:val="22"/>
        </w:rPr>
        <w:t>. The ultrasound machine was also used to visualize the medication going past the adipose tissue and into the muscles to avoid any vulnerable areas such as arteries, veins and nerves</w:t>
      </w:r>
      <w:r>
        <w:rPr>
          <w:sz w:val="22"/>
          <w:szCs w:val="22"/>
        </w:rPr>
        <w:t xml:space="preserve">. After aspiration to make sure that the needle was not inside a vessel, a mixture of the following medication was injected in the above trigger point regions.  As no fluid was aspirated out, no sample was sent to the lab for cytology. </w:t>
      </w:r>
    </w:p>
    <w:p w:rsidR="00CC0CC2" w:rsidRDefault="00CC0CC2" w:rsidP="00D81E2E">
      <w:pPr>
        <w:rPr>
          <w:sz w:val="22"/>
          <w:szCs w:val="22"/>
        </w:rPr>
      </w:pPr>
    </w:p>
    <w:p w:rsidR="00CC0CC2" w:rsidRDefault="00CC0CC2" w:rsidP="00D81E2E">
      <w:pPr>
        <w:rPr>
          <w:sz w:val="22"/>
          <w:szCs w:val="22"/>
          <w:u w:val="single"/>
        </w:rPr>
      </w:pPr>
      <w:r>
        <w:rPr>
          <w:sz w:val="22"/>
          <w:szCs w:val="22"/>
        </w:rPr>
        <w:t xml:space="preserve">The patient tolerated the procedure well and was discharged without complications.  This should stand for the letter of medical necessity for the requested procedure. </w:t>
      </w:r>
    </w:p>
    <w:p w:rsidR="00CF5D74" w:rsidRPr="00DD19E4" w:rsidRDefault="00CF5D74" w:rsidP="00D81E2E">
      <w:pPr>
        <w:rPr>
          <w:sz w:val="22"/>
          <w:szCs w:val="22"/>
        </w:rPr>
      </w:pPr>
    </w:p>
    <w:p w:rsidR="00D81E2E" w:rsidRDefault="00D81E2E" w:rsidP="00D81E2E">
      <w:pPr>
        <w:rPr>
          <w:color w:val="000000"/>
          <w:sz w:val="22"/>
          <w:szCs w:val="22"/>
        </w:rPr>
      </w:pPr>
      <w:bookmarkStart w:id="10" w:name="lic"/>
      <w:bookmarkEnd w:id="10"/>
    </w:p>
    <w:p w:rsidR="00D81E2E" w:rsidRDefault="00D81E2E" w:rsidP="00D81E2E">
      <w:pPr>
        <w:rPr>
          <w:color w:val="000000"/>
          <w:sz w:val="22"/>
          <w:szCs w:val="22"/>
        </w:rPr>
      </w:pPr>
    </w:p>
    <w:p w:rsidR="00D81E2E" w:rsidRDefault="00D81E2E" w:rsidP="00BD1872"/>
    <w:p w:rsidR="00D81E2E" w:rsidRDefault="00D81E2E" w:rsidP="00BD1872">
      <w:r>
        <w:rPr>
          <w:noProof/>
        </w:rPr>
        <w:drawing>
          <wp:inline distT="0" distB="0" distL="0" distR="0">
            <wp:extent cx="1562100" cy="3714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l="3746" t="48282" r="32959" b="21295"/>
                    <a:stretch>
                      <a:fillRect/>
                    </a:stretch>
                  </pic:blipFill>
                  <pic:spPr bwMode="auto">
                    <a:xfrm>
                      <a:off x="0" y="0"/>
                      <a:ext cx="1562100" cy="371475"/>
                    </a:xfrm>
                    <a:prstGeom prst="rect">
                      <a:avLst/>
                    </a:prstGeom>
                    <a:noFill/>
                    <a:ln w="9525">
                      <a:noFill/>
                      <a:miter lim="800000"/>
                      <a:headEnd/>
                      <a:tailEnd/>
                    </a:ln>
                  </pic:spPr>
                </pic:pic>
              </a:graphicData>
            </a:graphic>
          </wp:inline>
        </w:drawing>
      </w:r>
    </w:p>
    <w:p w:rsidR="00D81E2E" w:rsidRDefault="00D81E2E" w:rsidP="00BD1872">
      <w:r>
        <w:t>Billy Ford, M.D.</w:t>
      </w:r>
    </w:p>
    <w:p w:rsidR="00D81E2E" w:rsidRDefault="00D81E2E" w:rsidP="00BD1872">
      <w:r>
        <w:t>Medical Director</w:t>
      </w:r>
    </w:p>
    <w:p w:rsidR="00D81E2E" w:rsidRPr="00A550E9" w:rsidRDefault="00D81E2E" w:rsidP="00BD1872">
      <w:r w:rsidRPr="00A550E9">
        <w:t>Pain Management Specialist</w:t>
      </w:r>
    </w:p>
    <w:p w:rsidR="00D81E2E" w:rsidRDefault="00D81E2E" w:rsidP="00BD1872"/>
    <w:p w:rsidR="00D81E2E" w:rsidRPr="00672FFB" w:rsidRDefault="00D81E2E" w:rsidP="00BD1872">
      <w:r w:rsidRPr="004825B0">
        <w:t>Transcribed but not proofread</w:t>
      </w:r>
    </w:p>
    <w:p w:rsidR="00D81E2E" w:rsidRPr="005E7ED1" w:rsidRDefault="00D81E2E" w:rsidP="005E7ED1"/>
    <w:p w:rsidR="00AC6B66" w:rsidRPr="002F74AF" w:rsidRDefault="00AC6B66" w:rsidP="00D81E2E">
      <w:pPr>
        <w:rPr>
          <w:color w:val="000000"/>
          <w:sz w:val="22"/>
          <w:szCs w:val="22"/>
        </w:rPr>
      </w:pPr>
    </w:p>
    <w:sectPr w:rsidR="00AC6B66" w:rsidRPr="002F74AF" w:rsidSect="00D81E2E">
      <w:headerReference w:type="default" r:id="rId7"/>
      <w:type w:val="continuous"/>
      <w:pgSz w:w="12240" w:h="15840"/>
      <w:pgMar w:top="72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8DB" w:rsidRDefault="00A068DB" w:rsidP="00963FA4">
      <w:r>
        <w:separator/>
      </w:r>
    </w:p>
  </w:endnote>
  <w:endnote w:type="continuationSeparator" w:id="1">
    <w:p w:rsidR="00A068DB" w:rsidRDefault="00A068DB" w:rsidP="00963F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8DB" w:rsidRDefault="00A068DB" w:rsidP="00963FA4">
      <w:r>
        <w:separator/>
      </w:r>
    </w:p>
  </w:footnote>
  <w:footnote w:type="continuationSeparator" w:id="1">
    <w:p w:rsidR="00A068DB" w:rsidRDefault="00A068DB" w:rsidP="00963F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73B" w:rsidRDefault="0040573B">
    <w:pPr>
      <w:pStyle w:val="Header"/>
    </w:pPr>
    <w:r>
      <w:t>This is demo</w:t>
    </w:r>
  </w:p>
  <w:p w:rsidR="0040573B" w:rsidRDefault="0040573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evenAndOddHeaders/>
  <w:drawingGridHorizontalSpacing w:val="120"/>
  <w:displayHorizontalDrawingGridEvery w:val="2"/>
  <w:characterSpacingControl w:val="doNotCompress"/>
  <w:footnotePr>
    <w:footnote w:id="0"/>
    <w:footnote w:id="1"/>
  </w:footnotePr>
  <w:endnotePr>
    <w:endnote w:id="0"/>
    <w:endnote w:id="1"/>
  </w:endnotePr>
  <w:compat/>
  <w:rsids>
    <w:rsidRoot w:val="00D2327D"/>
    <w:rsid w:val="00000A71"/>
    <w:rsid w:val="00010C52"/>
    <w:rsid w:val="000169D2"/>
    <w:rsid w:val="00091B07"/>
    <w:rsid w:val="000A3ACF"/>
    <w:rsid w:val="000B1F3F"/>
    <w:rsid w:val="000B4E58"/>
    <w:rsid w:val="000D1F0B"/>
    <w:rsid w:val="000F35B6"/>
    <w:rsid w:val="00131B28"/>
    <w:rsid w:val="00137A58"/>
    <w:rsid w:val="00144288"/>
    <w:rsid w:val="00156175"/>
    <w:rsid w:val="00167384"/>
    <w:rsid w:val="0018580D"/>
    <w:rsid w:val="001D170B"/>
    <w:rsid w:val="00243164"/>
    <w:rsid w:val="002453A7"/>
    <w:rsid w:val="002474AD"/>
    <w:rsid w:val="00250D3A"/>
    <w:rsid w:val="002A50C9"/>
    <w:rsid w:val="002B26E5"/>
    <w:rsid w:val="002D3704"/>
    <w:rsid w:val="002F74AF"/>
    <w:rsid w:val="003549B6"/>
    <w:rsid w:val="00366CF1"/>
    <w:rsid w:val="003A2C64"/>
    <w:rsid w:val="003D2BFF"/>
    <w:rsid w:val="003D4E7C"/>
    <w:rsid w:val="003F7D15"/>
    <w:rsid w:val="0040573B"/>
    <w:rsid w:val="00424108"/>
    <w:rsid w:val="0042452B"/>
    <w:rsid w:val="0046374B"/>
    <w:rsid w:val="00474859"/>
    <w:rsid w:val="004A1570"/>
    <w:rsid w:val="004A52AC"/>
    <w:rsid w:val="004B08A5"/>
    <w:rsid w:val="004B6CF2"/>
    <w:rsid w:val="004C6600"/>
    <w:rsid w:val="004F33B3"/>
    <w:rsid w:val="004F74E2"/>
    <w:rsid w:val="0051113C"/>
    <w:rsid w:val="0053475D"/>
    <w:rsid w:val="00572176"/>
    <w:rsid w:val="00594510"/>
    <w:rsid w:val="005A330B"/>
    <w:rsid w:val="005B5AF8"/>
    <w:rsid w:val="005C3B14"/>
    <w:rsid w:val="005D2494"/>
    <w:rsid w:val="005E67FD"/>
    <w:rsid w:val="005F01D8"/>
    <w:rsid w:val="006056D7"/>
    <w:rsid w:val="00617442"/>
    <w:rsid w:val="00632E75"/>
    <w:rsid w:val="00654EC2"/>
    <w:rsid w:val="00670A71"/>
    <w:rsid w:val="00671256"/>
    <w:rsid w:val="006A54EF"/>
    <w:rsid w:val="006B7351"/>
    <w:rsid w:val="006D302E"/>
    <w:rsid w:val="00700EA4"/>
    <w:rsid w:val="00706EDF"/>
    <w:rsid w:val="0071698E"/>
    <w:rsid w:val="00722CB2"/>
    <w:rsid w:val="0072331D"/>
    <w:rsid w:val="00743A56"/>
    <w:rsid w:val="0075435B"/>
    <w:rsid w:val="007C7F39"/>
    <w:rsid w:val="007D2530"/>
    <w:rsid w:val="007E0EC2"/>
    <w:rsid w:val="008007F6"/>
    <w:rsid w:val="00801E9B"/>
    <w:rsid w:val="00817693"/>
    <w:rsid w:val="008221E1"/>
    <w:rsid w:val="008232EE"/>
    <w:rsid w:val="0082409E"/>
    <w:rsid w:val="00825E74"/>
    <w:rsid w:val="00844816"/>
    <w:rsid w:val="00845E6F"/>
    <w:rsid w:val="0086581C"/>
    <w:rsid w:val="00873F60"/>
    <w:rsid w:val="008940A0"/>
    <w:rsid w:val="00894343"/>
    <w:rsid w:val="00917F0E"/>
    <w:rsid w:val="009255CA"/>
    <w:rsid w:val="009400E9"/>
    <w:rsid w:val="00946D5C"/>
    <w:rsid w:val="00963DBD"/>
    <w:rsid w:val="00963FA4"/>
    <w:rsid w:val="009A467E"/>
    <w:rsid w:val="009B3C3C"/>
    <w:rsid w:val="009D713B"/>
    <w:rsid w:val="009E6481"/>
    <w:rsid w:val="00A06558"/>
    <w:rsid w:val="00A068DB"/>
    <w:rsid w:val="00A0768D"/>
    <w:rsid w:val="00A50CA7"/>
    <w:rsid w:val="00A712BC"/>
    <w:rsid w:val="00A74FAE"/>
    <w:rsid w:val="00A905E7"/>
    <w:rsid w:val="00AC6B66"/>
    <w:rsid w:val="00AD7E84"/>
    <w:rsid w:val="00AE0E1C"/>
    <w:rsid w:val="00AE61FD"/>
    <w:rsid w:val="00B037CE"/>
    <w:rsid w:val="00B22D57"/>
    <w:rsid w:val="00B240CA"/>
    <w:rsid w:val="00B51C2C"/>
    <w:rsid w:val="00B66460"/>
    <w:rsid w:val="00B710A7"/>
    <w:rsid w:val="00B912C5"/>
    <w:rsid w:val="00C21FD9"/>
    <w:rsid w:val="00C224FD"/>
    <w:rsid w:val="00C25C8A"/>
    <w:rsid w:val="00C3454C"/>
    <w:rsid w:val="00C46126"/>
    <w:rsid w:val="00C757A2"/>
    <w:rsid w:val="00C80D68"/>
    <w:rsid w:val="00CC0CC2"/>
    <w:rsid w:val="00CD4BA7"/>
    <w:rsid w:val="00CF0158"/>
    <w:rsid w:val="00CF5D74"/>
    <w:rsid w:val="00D10814"/>
    <w:rsid w:val="00D2327D"/>
    <w:rsid w:val="00D45691"/>
    <w:rsid w:val="00D50827"/>
    <w:rsid w:val="00D61B00"/>
    <w:rsid w:val="00D81E2E"/>
    <w:rsid w:val="00DD19E4"/>
    <w:rsid w:val="00E341AA"/>
    <w:rsid w:val="00E46375"/>
    <w:rsid w:val="00E97503"/>
    <w:rsid w:val="00EA1D19"/>
    <w:rsid w:val="00EA4737"/>
    <w:rsid w:val="00EA5A5A"/>
    <w:rsid w:val="00EA6C9F"/>
    <w:rsid w:val="00EC491A"/>
    <w:rsid w:val="00EE5E4E"/>
    <w:rsid w:val="00EE6457"/>
    <w:rsid w:val="00EE6D59"/>
    <w:rsid w:val="00F0196E"/>
    <w:rsid w:val="00F03050"/>
    <w:rsid w:val="00F139F4"/>
    <w:rsid w:val="00F152D7"/>
    <w:rsid w:val="00F20148"/>
    <w:rsid w:val="00F310C5"/>
    <w:rsid w:val="00F32747"/>
    <w:rsid w:val="00F43B85"/>
    <w:rsid w:val="00F54980"/>
    <w:rsid w:val="00F57749"/>
    <w:rsid w:val="00F67924"/>
    <w:rsid w:val="00F71ACC"/>
    <w:rsid w:val="00F7294D"/>
    <w:rsid w:val="00F83507"/>
    <w:rsid w:val="00F8722B"/>
    <w:rsid w:val="00F90252"/>
    <w:rsid w:val="00F927A2"/>
    <w:rsid w:val="00FA6138"/>
    <w:rsid w:val="00FB12BE"/>
    <w:rsid w:val="00FF42BC"/>
    <w:rsid w:val="00FF4593"/>
    <w:rsid w:val="00FF47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ED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94343"/>
    <w:rPr>
      <w:rFonts w:ascii="Tahoma" w:hAnsi="Tahoma" w:cs="Tahoma"/>
      <w:sz w:val="16"/>
      <w:szCs w:val="16"/>
    </w:rPr>
  </w:style>
  <w:style w:type="table" w:styleId="TableGrid">
    <w:name w:val="Table Grid"/>
    <w:basedOn w:val="TableNormal"/>
    <w:rsid w:val="00822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144288"/>
    <w:rPr>
      <w:sz w:val="16"/>
      <w:szCs w:val="16"/>
    </w:rPr>
  </w:style>
  <w:style w:type="paragraph" w:styleId="CommentText">
    <w:name w:val="annotation text"/>
    <w:basedOn w:val="Normal"/>
    <w:link w:val="CommentTextChar"/>
    <w:rsid w:val="00144288"/>
    <w:rPr>
      <w:sz w:val="20"/>
      <w:szCs w:val="20"/>
    </w:rPr>
  </w:style>
  <w:style w:type="character" w:customStyle="1" w:styleId="CommentTextChar">
    <w:name w:val="Comment Text Char"/>
    <w:basedOn w:val="DefaultParagraphFont"/>
    <w:link w:val="CommentText"/>
    <w:rsid w:val="00144288"/>
  </w:style>
  <w:style w:type="paragraph" w:styleId="CommentSubject">
    <w:name w:val="annotation subject"/>
    <w:basedOn w:val="CommentText"/>
    <w:next w:val="CommentText"/>
    <w:link w:val="CommentSubjectChar"/>
    <w:rsid w:val="00144288"/>
    <w:rPr>
      <w:b/>
      <w:bCs/>
    </w:rPr>
  </w:style>
  <w:style w:type="character" w:customStyle="1" w:styleId="CommentSubjectChar">
    <w:name w:val="Comment Subject Char"/>
    <w:basedOn w:val="CommentTextChar"/>
    <w:link w:val="CommentSubject"/>
    <w:rsid w:val="00144288"/>
    <w:rPr>
      <w:b/>
      <w:bCs/>
    </w:rPr>
  </w:style>
  <w:style w:type="paragraph" w:styleId="Header">
    <w:name w:val="header"/>
    <w:basedOn w:val="Normal"/>
    <w:link w:val="HeaderChar"/>
    <w:uiPriority w:val="99"/>
    <w:rsid w:val="00963FA4"/>
    <w:pPr>
      <w:tabs>
        <w:tab w:val="center" w:pos="4680"/>
        <w:tab w:val="right" w:pos="9360"/>
      </w:tabs>
    </w:pPr>
  </w:style>
  <w:style w:type="character" w:customStyle="1" w:styleId="HeaderChar">
    <w:name w:val="Header Char"/>
    <w:basedOn w:val="DefaultParagraphFont"/>
    <w:link w:val="Header"/>
    <w:uiPriority w:val="99"/>
    <w:rsid w:val="00963FA4"/>
    <w:rPr>
      <w:sz w:val="24"/>
      <w:szCs w:val="24"/>
    </w:rPr>
  </w:style>
  <w:style w:type="paragraph" w:styleId="Footer">
    <w:name w:val="footer"/>
    <w:basedOn w:val="Normal"/>
    <w:link w:val="FooterChar"/>
    <w:rsid w:val="00963FA4"/>
    <w:pPr>
      <w:tabs>
        <w:tab w:val="center" w:pos="4680"/>
        <w:tab w:val="right" w:pos="9360"/>
      </w:tabs>
    </w:pPr>
  </w:style>
  <w:style w:type="character" w:customStyle="1" w:styleId="FooterChar">
    <w:name w:val="Footer Char"/>
    <w:basedOn w:val="DefaultParagraphFont"/>
    <w:link w:val="Footer"/>
    <w:rsid w:val="00963FA4"/>
    <w:rPr>
      <w:sz w:val="24"/>
      <w:szCs w:val="24"/>
    </w:rPr>
  </w:style>
</w:styles>
</file>

<file path=word/webSettings.xml><?xml version="1.0" encoding="utf-8"?>
<w:webSettings xmlns:r="http://schemas.openxmlformats.org/officeDocument/2006/relationships" xmlns:w="http://schemas.openxmlformats.org/wordprocessingml/2006/main">
  <w:divs>
    <w:div w:id="1304627553">
      <w:bodyDiv w:val="1"/>
      <w:marLeft w:val="0"/>
      <w:marRight w:val="0"/>
      <w:marTop w:val="0"/>
      <w:marBottom w:val="0"/>
      <w:divBdr>
        <w:top w:val="none" w:sz="0" w:space="0" w:color="auto"/>
        <w:left w:val="none" w:sz="0" w:space="0" w:color="auto"/>
        <w:bottom w:val="none" w:sz="0" w:space="0" w:color="auto"/>
        <w:right w:val="none" w:sz="0" w:space="0" w:color="auto"/>
      </w:divBdr>
    </w:div>
    <w:div w:id="1326127272">
      <w:bodyDiv w:val="1"/>
      <w:marLeft w:val="0"/>
      <w:marRight w:val="0"/>
      <w:marTop w:val="0"/>
      <w:marBottom w:val="0"/>
      <w:divBdr>
        <w:top w:val="none" w:sz="0" w:space="0" w:color="auto"/>
        <w:left w:val="none" w:sz="0" w:space="0" w:color="auto"/>
        <w:bottom w:val="none" w:sz="0" w:space="0" w:color="auto"/>
        <w:right w:val="none" w:sz="0" w:space="0" w:color="auto"/>
      </w:divBdr>
    </w:div>
    <w:div w:id="181941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oductionServer\ePainTrax_NV_BHF_V\Template\PN\CTP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CTPI</Template>
  <TotalTime>1</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Ketan D</vt:lpstr>
    </vt:vector>
  </TitlesOfParts>
  <Company>Microsoft</Company>
  <LinksUpToDate>false</LinksUpToDate>
  <CharactersWithSpaces>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Ketan D</dc:title>
  <dc:creator>Purav</dc:creator>
  <cp:lastModifiedBy>EC2</cp:lastModifiedBy>
  <cp:revision>3</cp:revision>
  <cp:lastPrinted>2012-04-24T16:41:00Z</cp:lastPrinted>
  <dcterms:created xsi:type="dcterms:W3CDTF">2021-09-14T09:21:00Z</dcterms:created>
  <dcterms:modified xsi:type="dcterms:W3CDTF">2021-09-14T09:33:00Z</dcterms:modified>
</cp:coreProperties>
</file>