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731A6D">
        <w:rPr>
          <w:sz w:val="24"/>
          <w:szCs w:val="24"/>
        </w:rPr>
        <w:t>Nicole Manvell</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731A6D">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731A6D">
        <w:rPr>
          <w:sz w:val="24"/>
          <w:szCs w:val="24"/>
        </w:rPr>
        <w:t>04/02/2018</w:t>
      </w:r>
    </w:p>
    <w:p w:rsidR="00DB7BE2" w:rsidRDefault="00DB7BE2" w:rsidP="00DB7BE2">
      <w:pPr>
        <w:rPr>
          <w:sz w:val="24"/>
          <w:szCs w:val="24"/>
        </w:rPr>
      </w:pPr>
      <w:bookmarkStart w:id="3" w:name="DOA"/>
      <w:bookmarkEnd w:id="3"/>
    </w:p>
    <w:p w:rsidR="00A33676" w:rsidRDefault="00731A6D" w:rsidP="00DB7BE2">
      <w:pPr>
        <w:rPr>
          <w:sz w:val="24"/>
          <w:szCs w:val="24"/>
        </w:rPr>
      </w:pPr>
      <w:bookmarkStart w:id="4" w:name="REEVALNOTE"/>
      <w:bookmarkEnd w:id="4"/>
      <w:r>
        <w:rPr>
          <w:sz w:val="24"/>
          <w:szCs w:val="24"/>
        </w:rPr>
        <w:t>Others^ Medications were reviewed.</w:t>
      </w:r>
    </w:p>
    <w:p w:rsidR="00731A6D" w:rsidRDefault="00731A6D" w:rsidP="00DB7BE2">
      <w:pPr>
        <w:rPr>
          <w:sz w:val="24"/>
          <w:szCs w:val="24"/>
        </w:rPr>
      </w:pPr>
      <w:bookmarkStart w:id="5" w:name="PROCPERF"/>
      <w:bookmarkEnd w:id="5"/>
    </w:p>
    <w:p w:rsidR="00731A6D" w:rsidRDefault="00731A6D" w:rsidP="00DB7BE2">
      <w:pPr>
        <w:rPr>
          <w:sz w:val="24"/>
          <w:szCs w:val="24"/>
        </w:rPr>
      </w:pPr>
    </w:p>
    <w:p w:rsidR="00731A6D" w:rsidRDefault="00731A6D" w:rsidP="00DB7BE2">
      <w:pPr>
        <w:rPr>
          <w:b/>
          <w:sz w:val="24"/>
          <w:szCs w:val="24"/>
          <w:u w:val="single"/>
        </w:rPr>
      </w:pPr>
      <w:r w:rsidRPr="00731A6D">
        <w:rPr>
          <w:b/>
          <w:sz w:val="24"/>
          <w:szCs w:val="24"/>
          <w:u w:val="single"/>
        </w:rPr>
        <w:t>Procedures performed:</w:t>
      </w:r>
    </w:p>
    <w:p w:rsidR="0006471E" w:rsidRPr="00731A6D" w:rsidRDefault="00731A6D" w:rsidP="00DB7BE2">
      <w:pPr>
        <w:rPr>
          <w:sz w:val="24"/>
          <w:szCs w:val="24"/>
        </w:rPr>
      </w:pPr>
      <w:r w:rsidRPr="00731A6D">
        <w:rPr>
          <w:sz w:val="24"/>
          <w:szCs w:val="24"/>
        </w:rPr>
        <w:t>10/29/18 - UTox</w:t>
      </w:r>
    </w:p>
    <w:p w:rsidR="00731A6D" w:rsidRDefault="00731A6D" w:rsidP="00CF151E">
      <w:pPr>
        <w:rPr>
          <w:b/>
          <w:sz w:val="24"/>
          <w:szCs w:val="24"/>
        </w:rPr>
      </w:pPr>
      <w:bookmarkStart w:id="6" w:name="FU"/>
      <w:bookmarkEnd w:id="6"/>
    </w:p>
    <w:p w:rsidR="00731A6D" w:rsidRDefault="00731A6D" w:rsidP="00CF151E">
      <w:pPr>
        <w:rPr>
          <w:b/>
          <w:sz w:val="24"/>
          <w:szCs w:val="24"/>
        </w:rPr>
      </w:pPr>
    </w:p>
    <w:p w:rsidR="00731A6D" w:rsidRDefault="00731A6D" w:rsidP="00CF151E">
      <w:pPr>
        <w:rPr>
          <w:b/>
          <w:sz w:val="24"/>
          <w:szCs w:val="24"/>
          <w:u w:val="single"/>
        </w:rPr>
      </w:pPr>
      <w:r w:rsidRPr="00731A6D">
        <w:rPr>
          <w:b/>
          <w:sz w:val="24"/>
          <w:szCs w:val="24"/>
          <w:u w:val="single"/>
        </w:rPr>
        <w:t>Chief Complaint:</w:t>
      </w:r>
    </w:p>
    <w:p w:rsidR="00731A6D" w:rsidRDefault="00731A6D" w:rsidP="00CF151E">
      <w:pPr>
        <w:rPr>
          <w:b/>
          <w:sz w:val="24"/>
          <w:szCs w:val="24"/>
          <w:u w:val="single"/>
        </w:rPr>
      </w:pPr>
    </w:p>
    <w:p w:rsidR="00731A6D" w:rsidRDefault="00731A6D" w:rsidP="00CF151E">
      <w:pPr>
        <w:rPr>
          <w:sz w:val="24"/>
          <w:szCs w:val="24"/>
        </w:rPr>
      </w:pPr>
      <w:r w:rsidRPr="00731A6D">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731A6D" w:rsidRDefault="00731A6D" w:rsidP="00CF151E">
      <w:pPr>
        <w:rPr>
          <w:sz w:val="24"/>
          <w:szCs w:val="24"/>
        </w:rPr>
      </w:pPr>
    </w:p>
    <w:p w:rsidR="00731A6D" w:rsidRDefault="00731A6D" w:rsidP="00CF151E">
      <w:pPr>
        <w:rPr>
          <w:sz w:val="24"/>
          <w:szCs w:val="24"/>
        </w:rPr>
      </w:pPr>
      <w:r w:rsidRPr="00731A6D">
        <w:rPr>
          <w:sz w:val="24"/>
          <w:szCs w:val="24"/>
        </w:rPr>
        <w:t>The patient complains of mid back pain that is 7/10, with 10 being the worst, which is dull and achy in nature. Mid-back pain is worsened with lying down, movement activities and bending.</w:t>
      </w:r>
    </w:p>
    <w:p w:rsidR="00731A6D" w:rsidRDefault="00731A6D" w:rsidP="00CF151E">
      <w:pPr>
        <w:rPr>
          <w:sz w:val="24"/>
          <w:szCs w:val="24"/>
        </w:rPr>
      </w:pPr>
    </w:p>
    <w:p w:rsidR="00731A6D" w:rsidRDefault="00731A6D" w:rsidP="00CF151E">
      <w:pPr>
        <w:rPr>
          <w:sz w:val="24"/>
          <w:szCs w:val="24"/>
        </w:rPr>
      </w:pPr>
      <w:r w:rsidRPr="00731A6D">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w:t>
      </w:r>
    </w:p>
    <w:p w:rsidR="00731A6D" w:rsidRDefault="00731A6D" w:rsidP="00CF151E">
      <w:pPr>
        <w:rPr>
          <w:sz w:val="24"/>
          <w:szCs w:val="24"/>
        </w:rPr>
      </w:pPr>
    </w:p>
    <w:p w:rsidR="00731A6D" w:rsidRDefault="00731A6D" w:rsidP="00CF151E">
      <w:pPr>
        <w:rPr>
          <w:sz w:val="24"/>
          <w:szCs w:val="24"/>
        </w:rPr>
      </w:pPr>
      <w:r w:rsidRPr="00731A6D">
        <w:rPr>
          <w:sz w:val="24"/>
          <w:szCs w:val="24"/>
        </w:rPr>
        <w:t>The patient complains of left knee pain that is 7/10, with 10 being the worst, which is sharp, shooting, dull and achy in nature. Left knee pain is worsened with walking, climbing stairs and squatting.</w:t>
      </w:r>
    </w:p>
    <w:p w:rsidR="00731A6D" w:rsidRDefault="00731A6D" w:rsidP="00CF151E">
      <w:pPr>
        <w:rPr>
          <w:sz w:val="24"/>
          <w:szCs w:val="24"/>
        </w:rPr>
      </w:pPr>
    </w:p>
    <w:p w:rsidR="00B61B95" w:rsidRPr="00731A6D" w:rsidRDefault="00731A6D" w:rsidP="00CF151E">
      <w:pPr>
        <w:rPr>
          <w:sz w:val="24"/>
          <w:szCs w:val="24"/>
        </w:rPr>
      </w:pPr>
      <w:r w:rsidRPr="00731A6D">
        <w:rPr>
          <w:sz w:val="24"/>
          <w:szCs w:val="24"/>
        </w:rPr>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731A6D" w:rsidRPr="00731A6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731A6D" w:rsidRPr="00731A6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lastRenderedPageBreak/>
        <w:t>PAST SURGICAL / HOSPITALIZATION HISTORY:</w:t>
      </w:r>
      <w:r>
        <w:rPr>
          <w:sz w:val="24"/>
          <w:szCs w:val="24"/>
        </w:rPr>
        <w:t xml:space="preserve">  </w:t>
      </w:r>
      <w:bookmarkStart w:id="9" w:name="PSH"/>
      <w:bookmarkEnd w:id="9"/>
      <w:r w:rsidR="00731A6D" w:rsidRPr="00731A6D">
        <w:rPr>
          <w:sz w:val="24"/>
          <w:szCs w:val="24"/>
        </w:rPr>
        <w:t xml:space="preserve"> Knee surgeries.</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731A6D" w:rsidRPr="00731A6D">
        <w:rPr>
          <w:sz w:val="24"/>
          <w:szCs w:val="24"/>
        </w:rPr>
        <w:t xml:space="preserve"> Oxycontin 30 mg 5 times a day, oxycodone, Dyazide, Adipex.</w:t>
      </w:r>
    </w:p>
    <w:p w:rsidR="00CF151E" w:rsidRDefault="00CF151E" w:rsidP="00CF151E">
      <w:pPr>
        <w:rPr>
          <w:sz w:val="24"/>
          <w:szCs w:val="24"/>
        </w:rPr>
      </w:pPr>
    </w:p>
    <w:p w:rsidR="00731A6D" w:rsidRDefault="00CF151E" w:rsidP="00CF151E">
      <w:pPr>
        <w:rPr>
          <w:sz w:val="24"/>
          <w:szCs w:val="24"/>
        </w:rPr>
      </w:pPr>
      <w:r>
        <w:rPr>
          <w:b/>
          <w:sz w:val="24"/>
          <w:szCs w:val="24"/>
        </w:rPr>
        <w:t>ALLERGIES:</w:t>
      </w:r>
      <w:r>
        <w:rPr>
          <w:sz w:val="24"/>
          <w:szCs w:val="24"/>
        </w:rPr>
        <w:t xml:space="preserve">  </w:t>
      </w:r>
      <w:bookmarkStart w:id="11" w:name="ALRGS"/>
      <w:bookmarkEnd w:id="11"/>
      <w:r w:rsidR="00731A6D" w:rsidRPr="00731A6D">
        <w:rPr>
          <w:sz w:val="24"/>
          <w:szCs w:val="24"/>
        </w:rPr>
        <w:t xml:space="preserve"> No known drug allergies.</w:t>
      </w:r>
    </w:p>
    <w:p w:rsidR="00731A6D" w:rsidRDefault="00731A6D" w:rsidP="00CF151E">
      <w:pPr>
        <w:rPr>
          <w:sz w:val="24"/>
          <w:szCs w:val="24"/>
        </w:rPr>
      </w:pPr>
    </w:p>
    <w:p w:rsidR="00731A6D" w:rsidRDefault="00731A6D" w:rsidP="00CF151E">
      <w:pPr>
        <w:rPr>
          <w:b/>
          <w:sz w:val="24"/>
          <w:szCs w:val="24"/>
          <w:u w:val="single"/>
        </w:rPr>
      </w:pPr>
      <w:r w:rsidRPr="00731A6D">
        <w:rPr>
          <w:b/>
          <w:sz w:val="24"/>
          <w:szCs w:val="24"/>
          <w:u w:val="single"/>
        </w:rPr>
        <w:t>Physical Examination:</w:t>
      </w:r>
    </w:p>
    <w:p w:rsidR="00731A6D" w:rsidRDefault="00731A6D" w:rsidP="00CF151E">
      <w:pPr>
        <w:rPr>
          <w:b/>
          <w:sz w:val="24"/>
          <w:szCs w:val="24"/>
          <w:u w:val="single"/>
        </w:rPr>
      </w:pPr>
    </w:p>
    <w:p w:rsidR="00731A6D" w:rsidRDefault="00731A6D" w:rsidP="00CF151E">
      <w:pPr>
        <w:rPr>
          <w:sz w:val="24"/>
          <w:szCs w:val="24"/>
        </w:rPr>
      </w:pPr>
      <w:r w:rsidRPr="00731A6D">
        <w:rPr>
          <w:b/>
          <w:sz w:val="24"/>
          <w:szCs w:val="24"/>
          <w:u w:val="single"/>
        </w:rPr>
        <w:t>Neurological Exam:</w:t>
      </w:r>
      <w:r w:rsidRPr="00731A6D">
        <w:rPr>
          <w:sz w:val="24"/>
          <w:szCs w:val="24"/>
        </w:rPr>
        <w:t xml:space="preserve"> Patient is alert and cooperative and responding appropriately. Cranial nerves II-XII grossly intact.</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Deep Tendon Reflexes:</w:t>
      </w:r>
      <w:r w:rsidRPr="00731A6D">
        <w:rPr>
          <w:sz w:val="24"/>
          <w:szCs w:val="24"/>
        </w:rPr>
        <w:t xml:space="preserve"> Are 2+ and equal with the exception of right triceps 1/2 and left triceps 1/2.</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Sensory Examination:</w:t>
      </w:r>
      <w:r w:rsidRPr="00731A6D">
        <w:rPr>
          <w:sz w:val="24"/>
          <w:szCs w:val="24"/>
        </w:rPr>
        <w:t xml:space="preserve"> Is checked by pinprick. It is intact. Hoffman's exam is negative.</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Manual Muscle Strength Testing:</w:t>
      </w:r>
      <w:r w:rsidRPr="00731A6D">
        <w:rPr>
          <w:sz w:val="24"/>
          <w:szCs w:val="24"/>
        </w:rPr>
        <w:t xml:space="preserve"> Testing is 5/5 normal with the exception of right shoulder abduction 5-/5, left shoulder abduction 5-/5, right shoulder flexion 5-/5, left shoulder flexion 5-/5, right hip flexion 5-/5 and left hip flexion 5-/5.</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Cervical Spine exam:</w:t>
      </w:r>
      <w:r w:rsidRPr="00731A6D">
        <w:rPr>
          <w:sz w:val="24"/>
          <w:szCs w:val="24"/>
        </w:rPr>
        <w:t xml:space="preserve"> Cervical spine examination reveals tenderness upon palpation at C2-8 levels.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Thoracic Spine Examination:</w:t>
      </w:r>
      <w:r w:rsidRPr="00731A6D">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Lumbar Spine Examination:</w:t>
      </w:r>
      <w:r w:rsidRPr="00731A6D">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Left Knee Examination:</w:t>
      </w:r>
      <w:r w:rsidRPr="00731A6D">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Right Knee Examination:</w:t>
      </w:r>
      <w:r w:rsidRPr="00731A6D">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731A6D" w:rsidRDefault="00731A6D" w:rsidP="00CF151E">
      <w:pPr>
        <w:rPr>
          <w:sz w:val="24"/>
          <w:szCs w:val="24"/>
        </w:rPr>
      </w:pPr>
    </w:p>
    <w:p w:rsidR="00731A6D" w:rsidRDefault="00731A6D" w:rsidP="00CF151E">
      <w:pPr>
        <w:rPr>
          <w:sz w:val="24"/>
          <w:szCs w:val="24"/>
        </w:rPr>
      </w:pPr>
      <w:r w:rsidRPr="00731A6D">
        <w:rPr>
          <w:b/>
          <w:sz w:val="24"/>
          <w:szCs w:val="24"/>
          <w:u w:val="single"/>
        </w:rPr>
        <w:t>GAIT:</w:t>
      </w:r>
      <w:r w:rsidRPr="00731A6D">
        <w:rPr>
          <w:sz w:val="24"/>
          <w:szCs w:val="24"/>
        </w:rPr>
        <w:t xml:space="preserve"> Normal.</w:t>
      </w:r>
    </w:p>
    <w:p w:rsidR="00731A6D" w:rsidRDefault="00731A6D" w:rsidP="00CF151E">
      <w:pPr>
        <w:rPr>
          <w:sz w:val="24"/>
          <w:szCs w:val="24"/>
        </w:rPr>
      </w:pPr>
    </w:p>
    <w:p w:rsidR="00731A6D" w:rsidRDefault="00731A6D" w:rsidP="00CF151E">
      <w:pPr>
        <w:rPr>
          <w:b/>
          <w:sz w:val="24"/>
          <w:szCs w:val="24"/>
          <w:u w:val="single"/>
        </w:rPr>
      </w:pPr>
      <w:r w:rsidRPr="00731A6D">
        <w:rPr>
          <w:b/>
          <w:sz w:val="24"/>
          <w:szCs w:val="24"/>
          <w:u w:val="single"/>
        </w:rPr>
        <w:t>Diagnostic Studies:</w:t>
      </w:r>
    </w:p>
    <w:p w:rsidR="00731A6D" w:rsidRDefault="00731A6D" w:rsidP="00CF151E">
      <w:pPr>
        <w:rPr>
          <w:sz w:val="24"/>
          <w:szCs w:val="24"/>
        </w:rPr>
      </w:pPr>
      <w:r w:rsidRPr="00731A6D">
        <w:rPr>
          <w:sz w:val="24"/>
          <w:szCs w:val="24"/>
        </w:rPr>
        <w:t>5/3/2015 - MRI of the Lumbar spine reveals bulge at L4-5 and mild facet joint hypertrophic arthropathy with mild grade 1 spondylolisthesis.</w:t>
      </w:r>
    </w:p>
    <w:p w:rsidR="00731A6D" w:rsidRDefault="00731A6D" w:rsidP="00CF151E">
      <w:pPr>
        <w:rPr>
          <w:sz w:val="24"/>
          <w:szCs w:val="24"/>
        </w:rPr>
      </w:pPr>
      <w:r w:rsidRPr="00731A6D">
        <w:rPr>
          <w:sz w:val="24"/>
          <w:szCs w:val="24"/>
        </w:rPr>
        <w:t>5/19/2018 - X-rays of the bilateral knees:  Moderate tricompartmental degenerative changes at both knees.  Left knee shows a single tiny loose body..</w:t>
      </w:r>
    </w:p>
    <w:p w:rsidR="00731A6D" w:rsidRDefault="00731A6D" w:rsidP="00CF151E">
      <w:pPr>
        <w:rPr>
          <w:sz w:val="24"/>
          <w:szCs w:val="24"/>
        </w:rPr>
      </w:pPr>
    </w:p>
    <w:p w:rsidR="00731A6D" w:rsidRDefault="00731A6D" w:rsidP="00CF151E">
      <w:pPr>
        <w:rPr>
          <w:sz w:val="24"/>
          <w:szCs w:val="24"/>
        </w:rPr>
      </w:pPr>
      <w:r w:rsidRPr="00731A6D">
        <w:rPr>
          <w:sz w:val="24"/>
          <w:szCs w:val="24"/>
        </w:rPr>
        <w:t>The above diagnostic studies were reviewed.</w:t>
      </w:r>
    </w:p>
    <w:p w:rsidR="00731A6D" w:rsidRDefault="00731A6D" w:rsidP="00CF151E">
      <w:pPr>
        <w:rPr>
          <w:sz w:val="24"/>
          <w:szCs w:val="24"/>
        </w:rPr>
      </w:pPr>
    </w:p>
    <w:p w:rsidR="00731A6D" w:rsidRDefault="00731A6D" w:rsidP="00CF151E">
      <w:pPr>
        <w:rPr>
          <w:b/>
          <w:sz w:val="24"/>
          <w:szCs w:val="24"/>
          <w:u w:val="single"/>
        </w:rPr>
      </w:pPr>
      <w:r w:rsidRPr="00731A6D">
        <w:rPr>
          <w:b/>
          <w:sz w:val="24"/>
          <w:szCs w:val="24"/>
          <w:u w:val="single"/>
        </w:rPr>
        <w:t>Diagnosis:</w:t>
      </w:r>
    </w:p>
    <w:p w:rsidR="00731A6D" w:rsidRDefault="00731A6D" w:rsidP="00CF151E">
      <w:pPr>
        <w:rPr>
          <w:sz w:val="24"/>
          <w:szCs w:val="24"/>
        </w:rPr>
      </w:pPr>
      <w:r w:rsidRPr="00731A6D">
        <w:rPr>
          <w:sz w:val="24"/>
          <w:szCs w:val="24"/>
        </w:rPr>
        <w:t>Lumbar disc bulge at L4-5.</w:t>
      </w:r>
    </w:p>
    <w:p w:rsidR="00731A6D" w:rsidRDefault="00731A6D" w:rsidP="00CF151E">
      <w:pPr>
        <w:rPr>
          <w:sz w:val="24"/>
          <w:szCs w:val="24"/>
        </w:rPr>
      </w:pPr>
      <w:r w:rsidRPr="00731A6D">
        <w:rPr>
          <w:sz w:val="24"/>
          <w:szCs w:val="24"/>
        </w:rPr>
        <w:t>Lumbar mild facet joint hypertrophic arthropathy with mild grade 1 spondylolisthesis..</w:t>
      </w:r>
    </w:p>
    <w:p w:rsidR="00731A6D" w:rsidRDefault="00731A6D" w:rsidP="00CF151E">
      <w:pPr>
        <w:rPr>
          <w:sz w:val="24"/>
          <w:szCs w:val="24"/>
        </w:rPr>
      </w:pPr>
      <w:r w:rsidRPr="00731A6D">
        <w:rPr>
          <w:sz w:val="24"/>
          <w:szCs w:val="24"/>
        </w:rPr>
        <w:t>Cervical Muscle Sprain/Strain.</w:t>
      </w:r>
    </w:p>
    <w:p w:rsidR="00731A6D" w:rsidRDefault="00731A6D" w:rsidP="00CF151E">
      <w:pPr>
        <w:rPr>
          <w:sz w:val="24"/>
          <w:szCs w:val="24"/>
        </w:rPr>
      </w:pPr>
      <w:r w:rsidRPr="00731A6D">
        <w:rPr>
          <w:sz w:val="24"/>
          <w:szCs w:val="24"/>
        </w:rPr>
        <w:t>Possible Cervical Disc Herniation.</w:t>
      </w:r>
    </w:p>
    <w:p w:rsidR="00731A6D" w:rsidRDefault="00731A6D" w:rsidP="00CF151E">
      <w:pPr>
        <w:rPr>
          <w:sz w:val="24"/>
          <w:szCs w:val="24"/>
        </w:rPr>
      </w:pPr>
      <w:r w:rsidRPr="00731A6D">
        <w:rPr>
          <w:sz w:val="24"/>
          <w:szCs w:val="24"/>
        </w:rPr>
        <w:t>Possible Cervical Radiculopathy Vs. Plexopathy Vs. Entrapment Syndrome.</w:t>
      </w:r>
    </w:p>
    <w:p w:rsidR="00731A6D" w:rsidRDefault="00731A6D" w:rsidP="00CF151E">
      <w:pPr>
        <w:rPr>
          <w:sz w:val="24"/>
          <w:szCs w:val="24"/>
        </w:rPr>
      </w:pPr>
      <w:r w:rsidRPr="00731A6D">
        <w:rPr>
          <w:sz w:val="24"/>
          <w:szCs w:val="24"/>
        </w:rPr>
        <w:t>Cervicalgia (Neck pain): M54.2</w:t>
      </w:r>
    </w:p>
    <w:p w:rsidR="00731A6D" w:rsidRDefault="00731A6D" w:rsidP="00CF151E">
      <w:pPr>
        <w:rPr>
          <w:sz w:val="24"/>
          <w:szCs w:val="24"/>
        </w:rPr>
      </w:pPr>
      <w:r w:rsidRPr="00731A6D">
        <w:rPr>
          <w:sz w:val="24"/>
          <w:szCs w:val="24"/>
        </w:rPr>
        <w:t>Thoracic Muscle Sprain/Strain.</w:t>
      </w:r>
    </w:p>
    <w:p w:rsidR="00731A6D" w:rsidRDefault="00731A6D" w:rsidP="00CF151E">
      <w:pPr>
        <w:rPr>
          <w:sz w:val="24"/>
          <w:szCs w:val="24"/>
        </w:rPr>
      </w:pPr>
      <w:r w:rsidRPr="00731A6D">
        <w:rPr>
          <w:sz w:val="24"/>
          <w:szCs w:val="24"/>
        </w:rPr>
        <w:t>Back pain (thoracic):  M54.6</w:t>
      </w:r>
    </w:p>
    <w:p w:rsidR="00731A6D" w:rsidRDefault="00731A6D" w:rsidP="00CF151E">
      <w:pPr>
        <w:rPr>
          <w:sz w:val="24"/>
          <w:szCs w:val="24"/>
        </w:rPr>
      </w:pPr>
      <w:r w:rsidRPr="00731A6D">
        <w:rPr>
          <w:sz w:val="24"/>
          <w:szCs w:val="24"/>
        </w:rPr>
        <w:t>Low back pain (Lumbago): M54.5</w:t>
      </w:r>
    </w:p>
    <w:p w:rsidR="00731A6D" w:rsidRDefault="00731A6D" w:rsidP="00CF151E">
      <w:pPr>
        <w:rPr>
          <w:sz w:val="24"/>
          <w:szCs w:val="24"/>
        </w:rPr>
      </w:pPr>
      <w:r w:rsidRPr="00731A6D">
        <w:rPr>
          <w:sz w:val="24"/>
          <w:szCs w:val="24"/>
        </w:rPr>
        <w:t>Bilateral knee sprain/strain.</w:t>
      </w:r>
    </w:p>
    <w:p w:rsidR="00731A6D" w:rsidRDefault="00731A6D" w:rsidP="00CF151E">
      <w:pPr>
        <w:rPr>
          <w:sz w:val="24"/>
          <w:szCs w:val="24"/>
        </w:rPr>
      </w:pPr>
      <w:r w:rsidRPr="00731A6D">
        <w:rPr>
          <w:sz w:val="24"/>
          <w:szCs w:val="24"/>
        </w:rPr>
        <w:t>Bilateral knee internal derangement.</w:t>
      </w:r>
    </w:p>
    <w:p w:rsidR="00731A6D" w:rsidRDefault="00731A6D" w:rsidP="00CF151E">
      <w:pPr>
        <w:rPr>
          <w:sz w:val="24"/>
          <w:szCs w:val="24"/>
        </w:rPr>
      </w:pPr>
    </w:p>
    <w:p w:rsidR="00731A6D" w:rsidRDefault="00731A6D" w:rsidP="00CF151E">
      <w:pPr>
        <w:rPr>
          <w:b/>
          <w:sz w:val="24"/>
          <w:szCs w:val="24"/>
          <w:u w:val="single"/>
        </w:rPr>
      </w:pPr>
      <w:r w:rsidRPr="00731A6D">
        <w:rPr>
          <w:b/>
          <w:sz w:val="24"/>
          <w:szCs w:val="24"/>
          <w:u w:val="single"/>
        </w:rPr>
        <w:t>Plan:</w:t>
      </w:r>
    </w:p>
    <w:p w:rsidR="00731A6D" w:rsidRDefault="00731A6D" w:rsidP="00CF151E">
      <w:pPr>
        <w:rPr>
          <w:b/>
          <w:sz w:val="24"/>
          <w:szCs w:val="24"/>
          <w:u w:val="single"/>
        </w:rPr>
      </w:pPr>
    </w:p>
    <w:p w:rsidR="00731A6D" w:rsidRDefault="00731A6D" w:rsidP="00CF151E">
      <w:pPr>
        <w:rPr>
          <w:b/>
          <w:sz w:val="24"/>
          <w:szCs w:val="24"/>
          <w:u w:val="single"/>
        </w:rPr>
      </w:pPr>
      <w:r w:rsidRPr="00731A6D">
        <w:rPr>
          <w:b/>
          <w:sz w:val="24"/>
          <w:szCs w:val="24"/>
          <w:u w:val="single"/>
        </w:rPr>
        <w:t>Medications:</w:t>
      </w:r>
    </w:p>
    <w:p w:rsidR="00731A6D" w:rsidRPr="00731A6D" w:rsidRDefault="00731A6D" w:rsidP="00CF151E">
      <w:pPr>
        <w:rPr>
          <w:sz w:val="24"/>
          <w:szCs w:val="24"/>
        </w:rPr>
      </w:pPr>
      <w:r w:rsidRPr="00731A6D">
        <w:rPr>
          <w:sz w:val="24"/>
          <w:szCs w:val="24"/>
        </w:rPr>
        <w:t>Oxycodone 30 mg tablets, one tablet tid p.r.n.  dispense #90 chronic pain syndrome.</w:t>
      </w:r>
    </w:p>
    <w:p w:rsidR="00731A6D" w:rsidRPr="00731A6D" w:rsidRDefault="00731A6D" w:rsidP="00CF151E">
      <w:pPr>
        <w:rPr>
          <w:sz w:val="24"/>
          <w:szCs w:val="24"/>
        </w:rPr>
      </w:pPr>
      <w:r w:rsidRPr="00731A6D">
        <w:rPr>
          <w:sz w:val="24"/>
          <w:szCs w:val="24"/>
        </w:rPr>
        <w:t>Fioricet 50 mg/300 mg/40 mg one tab daily prn dispense #20</w:t>
      </w:r>
    </w:p>
    <w:p w:rsidR="00731A6D" w:rsidRDefault="00731A6D" w:rsidP="00CF151E">
      <w:pPr>
        <w:rPr>
          <w:b/>
          <w:sz w:val="24"/>
          <w:szCs w:val="24"/>
          <w:u w:val="single"/>
        </w:rPr>
      </w:pPr>
    </w:p>
    <w:p w:rsidR="00731A6D" w:rsidRDefault="00731A6D" w:rsidP="00CF151E">
      <w:pPr>
        <w:rPr>
          <w:b/>
          <w:sz w:val="24"/>
          <w:szCs w:val="24"/>
          <w:u w:val="single"/>
        </w:rPr>
      </w:pPr>
    </w:p>
    <w:p w:rsidR="00CF151E" w:rsidRPr="00731A6D" w:rsidRDefault="00731A6D" w:rsidP="00CF151E">
      <w:pPr>
        <w:rPr>
          <w:b/>
          <w:sz w:val="24"/>
          <w:szCs w:val="24"/>
          <w:u w:val="single"/>
        </w:rPr>
      </w:pPr>
      <w:r w:rsidRPr="00731A6D">
        <w:rPr>
          <w:b/>
          <w:sz w:val="24"/>
          <w:szCs w:val="24"/>
          <w:u w:val="single"/>
        </w:rPr>
        <w:t>Follow-up:</w:t>
      </w:r>
      <w:r w:rsidRPr="00731A6D">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93D" w:rsidRDefault="00FB693D">
      <w:r>
        <w:separator/>
      </w:r>
    </w:p>
  </w:endnote>
  <w:endnote w:type="continuationSeparator" w:id="1">
    <w:p w:rsidR="00FB693D" w:rsidRDefault="00FB69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731A6D">
      <w:t>Nicole Manvell</w:t>
    </w:r>
    <w:r>
      <w:tab/>
    </w:r>
    <w:bookmarkStart w:id="16" w:name="FDOB"/>
    <w:bookmarkEnd w:id="16"/>
    <w:r w:rsidR="00731A6D">
      <w:t>2/11/1977</w:t>
    </w:r>
    <w:r>
      <w:tab/>
    </w:r>
    <w:bookmarkStart w:id="17" w:name="FDOS"/>
    <w:bookmarkEnd w:id="17"/>
    <w:r w:rsidR="00731A6D">
      <w:t>7/22/2019</w:t>
    </w:r>
    <w:r>
      <w:tab/>
    </w:r>
    <w:r w:rsidR="00F57C76">
      <w:t xml:space="preserve">Page </w:t>
    </w:r>
    <w:fldSimple w:instr=" PAGE ">
      <w:r w:rsidR="00731A6D">
        <w:rPr>
          <w:noProof/>
        </w:rPr>
        <w:t>3</w:t>
      </w:r>
    </w:fldSimple>
    <w:r w:rsidR="00F57C76">
      <w:t xml:space="preserve"> of </w:t>
    </w:r>
    <w:fldSimple w:instr=" NUMPAGES  ">
      <w:r w:rsidR="00731A6D">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93D" w:rsidRDefault="00FB693D">
      <w:r>
        <w:separator/>
      </w:r>
    </w:p>
  </w:footnote>
  <w:footnote w:type="continuationSeparator" w:id="1">
    <w:p w:rsidR="00FB693D" w:rsidRDefault="00FB69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93D" w:rsidRPr="007408B1" w:rsidRDefault="00FB693D" w:rsidP="00DF2525">
    <w:pPr>
      <w:pStyle w:val="CompanyName"/>
      <w:spacing w:after="0"/>
      <w:jc w:val="center"/>
    </w:pPr>
    <w:bookmarkStart w:id="18" w:name="OLE_LINK1"/>
    <w:r w:rsidRPr="007408B1">
      <w:t>Prestige Pain Centers</w:t>
    </w:r>
  </w:p>
  <w:p w:rsidR="00FB693D" w:rsidRPr="005039B5" w:rsidRDefault="00FB693D" w:rsidP="00DF2525">
    <w:pPr>
      <w:jc w:val="center"/>
      <w:rPr>
        <w:rFonts w:ascii="Calibri" w:hAnsi="Calibri"/>
      </w:rPr>
    </w:pPr>
    <w:r w:rsidRPr="005039B5">
      <w:rPr>
        <w:rFonts w:ascii="Calibri" w:hAnsi="Calibri"/>
      </w:rPr>
      <w:t>Gurbir Johal M.D.</w:t>
    </w:r>
  </w:p>
  <w:p w:rsidR="00FB693D" w:rsidRPr="005039B5" w:rsidRDefault="00FB693D" w:rsidP="005039B5">
    <w:pPr>
      <w:jc w:val="center"/>
      <w:rPr>
        <w:rFonts w:ascii="Calibri" w:hAnsi="Calibri"/>
      </w:rPr>
    </w:pPr>
    <w:r w:rsidRPr="005039B5">
      <w:rPr>
        <w:rFonts w:ascii="Calibri" w:hAnsi="Calibri"/>
      </w:rPr>
      <w:t>P.O. Box 370</w:t>
    </w:r>
  </w:p>
  <w:p w:rsidR="00FB693D" w:rsidRPr="005039B5" w:rsidRDefault="00FB693D" w:rsidP="005039B5">
    <w:pPr>
      <w:jc w:val="center"/>
      <w:rPr>
        <w:rFonts w:ascii="Calibri" w:hAnsi="Calibri"/>
      </w:rPr>
    </w:pPr>
    <w:r w:rsidRPr="005039B5">
      <w:rPr>
        <w:rFonts w:ascii="Calibri" w:hAnsi="Calibri"/>
      </w:rPr>
      <w:t>Carteret, New Jersey 07008</w:t>
    </w:r>
  </w:p>
  <w:p w:rsidR="00FB693D" w:rsidRPr="005039B5" w:rsidRDefault="00FB693D" w:rsidP="005039B5">
    <w:pPr>
      <w:jc w:val="center"/>
      <w:rPr>
        <w:rFonts w:ascii="Calibri" w:hAnsi="Calibri"/>
      </w:rPr>
    </w:pPr>
    <w:r w:rsidRPr="005039B5">
      <w:rPr>
        <w:rFonts w:ascii="Calibri" w:hAnsi="Calibri"/>
      </w:rPr>
      <w:t>T: (732)-887-2004</w:t>
    </w:r>
  </w:p>
  <w:p w:rsidR="00FB693D" w:rsidRPr="005039B5" w:rsidRDefault="00FB693D" w:rsidP="005039B5">
    <w:pPr>
      <w:jc w:val="center"/>
      <w:rPr>
        <w:rFonts w:ascii="Calibri" w:hAnsi="Calibri"/>
        <w:szCs w:val="28"/>
      </w:rPr>
    </w:pPr>
    <w:r w:rsidRPr="005039B5">
      <w:rPr>
        <w:rFonts w:ascii="Calibri" w:hAnsi="Calibri"/>
      </w:rPr>
      <w:t>F: (732)-882-6364</w:t>
    </w:r>
    <w:bookmarkEnd w:id="18"/>
  </w:p>
  <w:p w:rsidR="00FB693D" w:rsidRPr="00FB693D" w:rsidRDefault="00FB693D" w:rsidP="00FB69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31A6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1A6D"/>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B693D"/>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FB693D"/>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879</Words>
  <Characters>4751</Characters>
  <Application>Microsoft Office Word</Application>
  <DocSecurity>0</DocSecurity>
  <Lines>118</Lines>
  <Paragraphs>42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2019-07-23T17:06:00Z</dcterms:created>
  <dcterms:modified xsi:type="dcterms:W3CDTF">2019-07-23T17:07:00Z</dcterms:modified>
</cp:coreProperties>
</file>