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79b9bb77ba043f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BERRIOS, JUAN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05/03/1958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post-op follow up evaluation. Patient is status post left knee arthroscopy on 04/18/22.</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3/10, with 10 being the worst.  Pain increases with excessive walking.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8 inches tall, weighs 244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well healed portal sites with swelling.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110 degrees (150 degrees normal), extension -15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05/29/2021 - MRI of the left knee reveals tricompartmental arthrosis preferentially affecting the medial and patellofemoral compartments. Focus of avascular necrosis spanning 3.6 cm within the proximal tibial diaphysis. Complex tearing of the medial meniscus with attenuated and macerated meniscal remnant. Full-thickness chondral loss with bone to bone apposition medial tibiofemoral compartment. There is a full-thickness fissuring and full-thickness chondral defect involves the patella apex and central trochlea.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left knee arthroscopy on 04/18/22.</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Physical therapy.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0a2cd869eb8415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87b0e27caf87487f"/>
      <w:headerReference w:type="first" r:id="R56e20580d77f4970"/>
      <w:headerReference w:type="default" r:id="R6384964be81d4edd"/>
      <w:footerReference w:type="even" r:id="R917188514a704f31"/>
      <w:footerReference w:type="first" r:id="R644b7453ca504214"/>
      <w:footerReference w:type="default" r:id="R425b272afc554d0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Berrios, Juan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Berrios, Juan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d4442ee0d624f52" /><Relationship Type="http://schemas.openxmlformats.org/officeDocument/2006/relationships/numbering" Target="/word/numbering.xml" Id="R51b60c3ada3b4688" /><Relationship Type="http://schemas.openxmlformats.org/officeDocument/2006/relationships/settings" Target="/word/settings.xml" Id="Rc189d13f14d441e7" /><Relationship Type="http://schemas.openxmlformats.org/officeDocument/2006/relationships/image" Target="/word/media/4d401cd4-0ff2-4f9f-920a-b53530b5bbb4.jpg" Id="R90a2cd869eb84156" /><Relationship Type="http://schemas.openxmlformats.org/officeDocument/2006/relationships/header" Target="/word/header1.xml" Id="R87b0e27caf87487f" /><Relationship Type="http://schemas.openxmlformats.org/officeDocument/2006/relationships/header" Target="/word/header2.xml" Id="R56e20580d77f4970" /><Relationship Type="http://schemas.openxmlformats.org/officeDocument/2006/relationships/header" Target="/word/header3.xml" Id="R6384964be81d4edd" /><Relationship Type="http://schemas.openxmlformats.org/officeDocument/2006/relationships/footer" Target="/word/footer1.xml" Id="R917188514a704f31" /><Relationship Type="http://schemas.openxmlformats.org/officeDocument/2006/relationships/footer" Target="/word/footer2.xml" Id="R644b7453ca504214" /><Relationship Type="http://schemas.openxmlformats.org/officeDocument/2006/relationships/footer" Target="/word/footer3.xml" Id="R425b272afc554d01" /></Relationships>
</file>