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e337669f4a48a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BETHEA, MARY FRANCES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07/24/1955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of right knee pain. Patient has done PT in the past.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no tenderness on palpation. There was no effusion. There was no atrophy of the quadriceps noted. Medial McMurray's test was positive. Lachman’s test was negative. Anterior drawer sign and Posterior drawer sign were each negative. Patellofemoral crepitus was present. Valgus &amp; Varus stress test was stable. Range of motion: Flexion 130 degrees (150 degrees normal) and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06/23/2022 – MRI of the right knee reveals tear of posterior horn of the medial meniscus. Partial tear of the proximal ACL. Complex tear of anterior horn, body and posterior horn of the lateral meniscus.Moderate osteoarthritic changes. Anterior subcutaneous soil tissue swelling and edema consistent with recent trauma, which may be seen in the setting of recent trauma, in an appropriate clinical setting. Moderate joint effusion consistent with trauma or synovitis.in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09/19/2022 - X=ray of the right knee reveals osteoarthritis.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09/19/2022 - X=ray of the left knee reveals osteoarthritis.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Medial/lateral right knee meniscus tears.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X-rays of the Bilateral Knees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obtain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225d1af96614be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0ea8ccbd9874d9c"/>
      <w:headerReference w:type="first" r:id="R9a03484e74d34879"/>
      <w:headerReference w:type="default" r:id="R119ad394c48e4c9b"/>
      <w:footerReference w:type="even" r:id="Rf142076610774ae7"/>
      <w:footerReference w:type="first" r:id="R2706b3b098964965"/>
      <w:footerReference w:type="default" r:id="Rbc69594d38a24a6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Bethea, Mary Frances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Bethea, Mary Frances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ce412ae08174b03" /><Relationship Type="http://schemas.openxmlformats.org/officeDocument/2006/relationships/numbering" Target="/word/numbering.xml" Id="R877d4ab9c149423d" /><Relationship Type="http://schemas.openxmlformats.org/officeDocument/2006/relationships/settings" Target="/word/settings.xml" Id="Rc0ca2ddc0efb4e10" /><Relationship Type="http://schemas.openxmlformats.org/officeDocument/2006/relationships/image" Target="/word/media/f3060a32-be5a-4960-a518-c61bf819134a.jpg" Id="R6225d1af96614bef" /><Relationship Type="http://schemas.openxmlformats.org/officeDocument/2006/relationships/header" Target="/word/header1.xml" Id="R60ea8ccbd9874d9c" /><Relationship Type="http://schemas.openxmlformats.org/officeDocument/2006/relationships/header" Target="/word/header2.xml" Id="R9a03484e74d34879" /><Relationship Type="http://schemas.openxmlformats.org/officeDocument/2006/relationships/header" Target="/word/header3.xml" Id="R119ad394c48e4c9b" /><Relationship Type="http://schemas.openxmlformats.org/officeDocument/2006/relationships/footer" Target="/word/footer1.xml" Id="Rf142076610774ae7" /><Relationship Type="http://schemas.openxmlformats.org/officeDocument/2006/relationships/footer" Target="/word/footer2.xml" Id="R2706b3b098964965" /><Relationship Type="http://schemas.openxmlformats.org/officeDocument/2006/relationships/footer" Target="/word/footer3.xml" Id="Rbc69594d38a24a67" /></Relationships>
</file>