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282a9cb605a4f61"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CARSON, FATIMA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12/05/1990</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postop follow-up evaluation.  Patient had right knee surgery on 11/15/21.  Patient did not undergo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knee pain that is 3-4/10, with 10 being the worst.  Right knee pain increases with walking, standing and improves with resting.</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knee pain that is 5-6/10, with 10 being the worst.  Right knee pain increases with walking, standing and improves with resting.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 surgery on 11/15/21.</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Tramadol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2 inches tall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right knee revealed tenderness on palpation at the patellofemoral region and lateral joint line. McMurray’s test is positive at lateral right knee. Range of motion Flexion 130degrees(150 degrees normal), Extension 0degrees(0 degrees normal).</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Knee: Examination of the left knee revealed tenderness on palpation at the lateral and medial joint line. McMurray’s test is positive at medial left knee. Range of motion Flexion 125degrees(150 degrees normal), Extension 0degrees(0 degrees normal)</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08/17/2019: MRI of the left knee reveals tear of the posterior horn of the medial meniscus with associated 1.1 cm parameniscal cyst. A 1.5 cm paramedical cyst also seen anterior to the anterior horn of the medial meniscus without visualized associated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08/18/2021: MRI of the right knee reveals lateral meniscal tear with an associated parameniscal cyst.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left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Left and Right knee arthroscopy, chondroplasty, synovectomy, partial vs total meniscectomy and all other related procedures with the patient.  I answered all their questions in regards to the procedure. The patient verbally consents to the procedure.</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Right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began PT, undergo medical clearance within 30 days of scheduled period. Patient is to return to the office in 2 months.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bd0e488f6a84f53"/>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c072785a960846b8"/>
      <w:headerReference w:type="first" r:id="Rb0a0c8207f4a4c78"/>
      <w:headerReference w:type="default" r:id="Raf32a7fd3bb84b3a"/>
      <w:footerReference w:type="even" r:id="R71c236a771c94f8a"/>
      <w:footerReference w:type="first" r:id="R1bd8761ceb6d4a9a"/>
      <w:footerReference w:type="default" r:id="R71f0c820560341f5"/>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Carson, Fatima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Carson, Fatima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8d864592f31542eb" /><Relationship Type="http://schemas.openxmlformats.org/officeDocument/2006/relationships/numbering" Target="/word/numbering.xml" Id="R798283534bab4518" /><Relationship Type="http://schemas.openxmlformats.org/officeDocument/2006/relationships/settings" Target="/word/settings.xml" Id="R771db13a0be44db5" /><Relationship Type="http://schemas.openxmlformats.org/officeDocument/2006/relationships/image" Target="/word/media/7991ef96-9afc-4280-9290-55b5191c1b52.jpg" Id="Rebd0e488f6a84f53" /><Relationship Type="http://schemas.openxmlformats.org/officeDocument/2006/relationships/header" Target="/word/header1.xml" Id="Rc072785a960846b8" /><Relationship Type="http://schemas.openxmlformats.org/officeDocument/2006/relationships/header" Target="/word/header2.xml" Id="Rb0a0c8207f4a4c78" /><Relationship Type="http://schemas.openxmlformats.org/officeDocument/2006/relationships/header" Target="/word/header3.xml" Id="Raf32a7fd3bb84b3a" /><Relationship Type="http://schemas.openxmlformats.org/officeDocument/2006/relationships/footer" Target="/word/footer1.xml" Id="R71c236a771c94f8a" /><Relationship Type="http://schemas.openxmlformats.org/officeDocument/2006/relationships/footer" Target="/word/footer2.xml" Id="R1bd8761ceb6d4a9a" /><Relationship Type="http://schemas.openxmlformats.org/officeDocument/2006/relationships/footer" Target="/word/footer3.xml" Id="R71f0c820560341f5" /></Relationships>
</file>