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f6d6f83f4ca4ab5"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COLON, VICTOR</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06/24/1959</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01/24/2022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is seen here for Orthopedic follow up evaluation.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left knee pain that is 6-9/10 pain with difficulty in activities of daily living. Pain gets worse when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Left hip surgery 2 years ago, right hip surgery 16 years, left knee surgery in 2017.</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Percocet 10/325, Xanax 0.5 mg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11 inches tall, weighs 207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right knee revealed tenderness medial and lateral meniscus. There was effilsion. There was no atrophy of the quadriceps noted. Lachman’s test was negative. Anterior drawer sign and Posterior drawer sign were each negative. Patellofemoral crepitus was not present. Valgus &amp; Varus stress test was stable. Range of motion Flexion 130 degrees(150 degrees normal ) Extension -5 degrees (0 degrees normal ) The calf touches the back of the thigh at 130 degrees of flexion (normal for the patient). Palpable medial McMurray's.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05/12/21 Left knee MRI revealed oblique tear posterior horn and body medial meniscus. Grade 2 sprain of ACL and grade 1 sprain of MCL. Mild to moderate tricompartmental articular chondrosis most pronounced medially. Small joint effusion and small Baker’s cyst. Several loose bodies posteriorly larges lies within the Baker's cyst.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Medial meniscus tear, 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left knee arthroscopy on 02/25/22.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Left knee arthroscopy, chondroplasty, synovectomy, partial vs total meniscectomy and all other related procedures with the patient.  I answered all their questions in regards to the procedure. The patient verbally consents to the procedure and will be scheduled on 02/25/22.</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get medical clearance.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2 months.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8738c6c319e446a"/>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eecbe4dd2c4e44d3"/>
      <w:headerReference w:type="first" r:id="Rb6f9959e83ed4c55"/>
      <w:headerReference w:type="default" r:id="R4f81d468a3564906"/>
      <w:footerReference w:type="even" r:id="R7d99dcfe553f4bd6"/>
      <w:footerReference w:type="first" r:id="R169efe8ad65e4edf"/>
      <w:footerReference w:type="default" r:id="R64002e81acbc4674"/>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Colon, Victor</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Colon, Victor</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1ac0e3c72f964033" /><Relationship Type="http://schemas.openxmlformats.org/officeDocument/2006/relationships/numbering" Target="/word/numbering.xml" Id="Rc56edd4275de488d" /><Relationship Type="http://schemas.openxmlformats.org/officeDocument/2006/relationships/settings" Target="/word/settings.xml" Id="Ra58608c18f1644b8" /><Relationship Type="http://schemas.openxmlformats.org/officeDocument/2006/relationships/image" Target="/word/media/b266ea85-b245-423c-8f47-ab01d79a7452.jpg" Id="Re8738c6c319e446a" /><Relationship Type="http://schemas.openxmlformats.org/officeDocument/2006/relationships/header" Target="/word/header1.xml" Id="Reecbe4dd2c4e44d3" /><Relationship Type="http://schemas.openxmlformats.org/officeDocument/2006/relationships/header" Target="/word/header2.xml" Id="Rb6f9959e83ed4c55" /><Relationship Type="http://schemas.openxmlformats.org/officeDocument/2006/relationships/header" Target="/word/header3.xml" Id="R4f81d468a3564906" /><Relationship Type="http://schemas.openxmlformats.org/officeDocument/2006/relationships/footer" Target="/word/footer1.xml" Id="R7d99dcfe553f4bd6" /><Relationship Type="http://schemas.openxmlformats.org/officeDocument/2006/relationships/footer" Target="/word/footer2.xml" Id="R169efe8ad65e4edf" /><Relationship Type="http://schemas.openxmlformats.org/officeDocument/2006/relationships/footer" Target="/word/footer3.xml" Id="R64002e81acbc4674" /></Relationships>
</file>