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081d6a1aa12446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FOLEY (DOA 1-12-22) CASE 2, TIMOTHY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12/26/1962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here today for orthopedic follow-up evaluation. Patient had 2 intraarticular injections x2 and no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8/10 with 10 being the worst, which is constant and shooting in nature. The knee pain radiates down leg along with tingling in knee cap. Patient had morning stiffness in right knee and knee buckles when walking.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heart attacks, 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wrist surgery (6 surgeries), C6-7 fusion, low back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Percocet, amitriptyline.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half a pack per day.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tall, weighs 248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present. Valgus &amp; Varus stress test was stable. Range of motion: Flexion 120 degrees (150 degrees normal). Patient had pain with extension.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03/18/2022 - MRI of the right knee reveals cartilage fissure over weightbearing lateral tibia with marrow edema and no fracture. Lateral subluxation of patella with patella alta. Patellofemoral cartilage loss with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Patellofemoral syndrome and posttraumatic arthritis.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PRP.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7eaeca21bd24ab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a361c170229492c"/>
      <w:headerReference w:type="first" r:id="R2e34781fa69545f4"/>
      <w:headerReference w:type="default" r:id="R0f2ce8644e0d4f58"/>
      <w:footerReference w:type="even" r:id="R59427770c2de47e4"/>
      <w:footerReference w:type="first" r:id="Rdd205637abde4605"/>
      <w:footerReference w:type="default" r:id="Rd9be5794a3414fd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(Doa 1-12-22) Case 2,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Foley (Doa 1-12-22) Case 2, Timothy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a96489a3e034e43" /><Relationship Type="http://schemas.openxmlformats.org/officeDocument/2006/relationships/numbering" Target="/word/numbering.xml" Id="R85a026ffa9084a59" /><Relationship Type="http://schemas.openxmlformats.org/officeDocument/2006/relationships/settings" Target="/word/settings.xml" Id="R42ac464220ca4877" /><Relationship Type="http://schemas.openxmlformats.org/officeDocument/2006/relationships/image" Target="/word/media/33785220-f6d1-4155-910d-2a16727fd010.jpg" Id="Rb7eaeca21bd24ab2" /><Relationship Type="http://schemas.openxmlformats.org/officeDocument/2006/relationships/header" Target="/word/header1.xml" Id="R2a361c170229492c" /><Relationship Type="http://schemas.openxmlformats.org/officeDocument/2006/relationships/header" Target="/word/header2.xml" Id="R2e34781fa69545f4" /><Relationship Type="http://schemas.openxmlformats.org/officeDocument/2006/relationships/header" Target="/word/header3.xml" Id="R0f2ce8644e0d4f58" /><Relationship Type="http://schemas.openxmlformats.org/officeDocument/2006/relationships/footer" Target="/word/footer1.xml" Id="R59427770c2de47e4" /><Relationship Type="http://schemas.openxmlformats.org/officeDocument/2006/relationships/footer" Target="/word/footer2.xml" Id="Rdd205637abde4605" /><Relationship Type="http://schemas.openxmlformats.org/officeDocument/2006/relationships/footer" Target="/word/footer3.xml" Id="Rd9be5794a3414fd3" /></Relationships>
</file>