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f57f2135fa4ef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MARTINEZ, EDWARD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05/29/1989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33 year-old right hand dominant male who was involved in a motor vehicle accident on 07/12/2021.  Patient states that the other driver ran a stop sign causing patient to him.   Patient injured Right Shoulder, Right Ankle in the accident. The patient is here today for orthopedic evaluation. Patient has tried 4+ months of PT with no improvement.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8/10, with 10 being the worst, which is dull and shooting in nature.  The shoulder pain is worsened with lifting arm, flexion and _____.  Nothing improves the pain.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ankle pain that is 8/10, with 10 being the worst, which is dull and shooting in nature.  The ankle pain is worsened with flexion.  Nothing improves the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 surgery 8 years ago.</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Pain medications.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Social drinker.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11 inches tall weighs 270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Ankle/Foot: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reveals tenderness to palpation on ____ATFL and CFL. There is no heat, swelling, effusion, erythema, crepitus, instability, or atrophy appreciated. Range of motion reveals dorsiflexion at 20 degrees (20 degrees normal), plantar flexion at 35 degrees (40 degrees normal), sub inversion at 10 degrees (30 degrees normal), and sub eversion at 5 degrees (20 degrees normal).  Drawer – negative.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on AC joint and rotator cuff. There was no effusion. No crepitus was present. No atrophy was present. Hawkins and Neers tests were positive.  Drop arm, and apprehension tests were negative.  Range of motion Abduction 110 degrees (180 degrees normal ),  Forward flexion 135 degrees (180 degrees normal ),  Internal rotation 40 degrees (80 degrees normal ),  External rotation 40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05/25/2022 - MRI of the right shoulder reveals AC joint arthrosis.  A 10 x 11 mm full-thickness insertional supraspinatus tear with traction edema in the humeral head and no fracture.  No muscle atrophy or tear.  Capsular thickening anterior which can be seen with adhesive capsulitis.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05/25/2022 - MRI of the right ankle reveals partial tear of anterior talofibular ligament.  Chronic tear of the calcaneofibular ligament.  Tibiotalar joint effusion.  Contusion of medial talar body and medial malleolus.  Soft tissue edema with no hematoma or bursitis.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Full rotator cuff tear, ATFL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Right Ankle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Right Ankle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29418d814d9465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f5c22646aaa4bea"/>
      <w:headerReference w:type="first" r:id="R416aa8b785ac453f"/>
      <w:headerReference w:type="default" r:id="R35604a4dc0bd469d"/>
      <w:footerReference w:type="even" r:id="Re3a66fd30c6940d6"/>
      <w:footerReference w:type="first" r:id="Rafb6976252414fea"/>
      <w:footerReference w:type="default" r:id="Rd5fe41ae08a044f2"/>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0b628fd9bec42b1" /><Relationship Type="http://schemas.openxmlformats.org/officeDocument/2006/relationships/numbering" Target="/word/numbering.xml" Id="R43121dfcd1834991" /><Relationship Type="http://schemas.openxmlformats.org/officeDocument/2006/relationships/settings" Target="/word/settings.xml" Id="R46cc0740e4e543d1" /><Relationship Type="http://schemas.openxmlformats.org/officeDocument/2006/relationships/image" Target="/word/media/a7b3db02-ef10-4b82-a403-8015c98dc82c.jpg" Id="Rc29418d814d94651" /><Relationship Type="http://schemas.openxmlformats.org/officeDocument/2006/relationships/header" Target="/word/header1.xml" Id="R7f5c22646aaa4bea" /><Relationship Type="http://schemas.openxmlformats.org/officeDocument/2006/relationships/header" Target="/word/header2.xml" Id="R416aa8b785ac453f" /><Relationship Type="http://schemas.openxmlformats.org/officeDocument/2006/relationships/header" Target="/word/header3.xml" Id="R35604a4dc0bd469d" /><Relationship Type="http://schemas.openxmlformats.org/officeDocument/2006/relationships/footer" Target="/word/footer1.xml" Id="Re3a66fd30c6940d6" /><Relationship Type="http://schemas.openxmlformats.org/officeDocument/2006/relationships/footer" Target="/word/footer2.xml" Id="Rafb6976252414fea" /><Relationship Type="http://schemas.openxmlformats.org/officeDocument/2006/relationships/footer" Target="/word/footer3.xml" Id="Rd5fe41ae08a044f2" /></Relationships>
</file>