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943a310bcac462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ROSHAYNE, HAMILTON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11/15/1995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today for 1 month postop orthopedic follow-up evaluation.  Patient is status post left knee reconstruction on 08/29/2022.  Incision is clean and healed.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Left knee reconstruction on 08/29/2022.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Incision is clean and healed. There was no effusion. There was no atrophy of the quadriceps noted. Lachman’s test was +1 firm end point. Anterior drawer sign and Posterior drawer sign were each negative. Patellofemoral crepitus was not present. Valgus &amp; Varus stress test was stable. Range of motion Flexion 120 degrees(150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04/14/2022 - MRI of the left knee reveals complete proximal and midsubstance anterior cruciate ligament tear with nondlsplaced fracture at the base of the medial tibia spine with diffuse marrow edema. Contusion of anterior medial femur, posterior lateral femur and tibiofibular joint.  Diffuse soft tissue edema with joint effusion. Medial collateral ligament sprain at the femur. Moderate-to-high grade proximal lateral collateral ligament tear.  Moderate-grade tear of the popliteus at its insertion. Moderate-grade tearing of the lateral gastrocnemius at the femur.  Low-grade tearing of the medial gastrocnemius at their insertions.  Diffuse posterior soft tissue edema. Ruptured popliteal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knee ACL reconstruction.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0d39a5d3e3c4cc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d2a67bea1e249c9"/>
      <w:headerReference w:type="first" r:id="R57a934f96c8b43ec"/>
      <w:headerReference w:type="default" r:id="R13f467fe29424868"/>
      <w:footerReference w:type="even" r:id="R805139de14c946df"/>
      <w:footerReference w:type="first" r:id="R2e63e0c01fa6421a"/>
      <w:footerReference w:type="default" r:id="R91eea0c163ae496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Roshayne, Hamilton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Roshayne, Hamilton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cba9468df434d3a" /><Relationship Type="http://schemas.openxmlformats.org/officeDocument/2006/relationships/numbering" Target="/word/numbering.xml" Id="Rb3ea6d5303f1404d" /><Relationship Type="http://schemas.openxmlformats.org/officeDocument/2006/relationships/settings" Target="/word/settings.xml" Id="R5729ca0c634b40a8" /><Relationship Type="http://schemas.openxmlformats.org/officeDocument/2006/relationships/image" Target="/word/media/6fd311bc-e18e-4a13-a0cd-3a0cd243f7cb.jpg" Id="Rf0d39a5d3e3c4ccf" /><Relationship Type="http://schemas.openxmlformats.org/officeDocument/2006/relationships/header" Target="/word/header1.xml" Id="Rad2a67bea1e249c9" /><Relationship Type="http://schemas.openxmlformats.org/officeDocument/2006/relationships/header" Target="/word/header2.xml" Id="R57a934f96c8b43ec" /><Relationship Type="http://schemas.openxmlformats.org/officeDocument/2006/relationships/header" Target="/word/header3.xml" Id="R13f467fe29424868" /><Relationship Type="http://schemas.openxmlformats.org/officeDocument/2006/relationships/footer" Target="/word/footer1.xml" Id="R805139de14c946df" /><Relationship Type="http://schemas.openxmlformats.org/officeDocument/2006/relationships/footer" Target="/word/footer2.xml" Id="R2e63e0c01fa6421a" /><Relationship Type="http://schemas.openxmlformats.org/officeDocument/2006/relationships/footer" Target="/word/footer3.xml" Id="R91eea0c163ae4964" /></Relationships>
</file>