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760"/>
        <w:jc w:val="center"/>
      </w:pPr>
      <w:r>
        <w:rPr>
          <w:b/>
          <w:color w:val="007C83"/>
          <w:sz w:val="26"/>
        </w:rPr>
        <w:t>C-CLARKE INTERNATIONAL INSTITUTE</w:t>
        <w:br/>
        <w:t>OF DIGITAL SCIENCES</w:t>
      </w:r>
    </w:p>
    <w:p>
      <w:pPr>
        <w:spacing w:before="900"/>
        <w:jc w:val="center"/>
      </w:pPr>
      <w:r>
        <w:rPr>
          <w:b/>
          <w:color w:val="173B5B"/>
          <w:sz w:val="72"/>
        </w:rPr>
        <w:t>SMART HIRE</w:t>
      </w:r>
    </w:p>
    <w:p>
      <w:pPr>
        <w:spacing w:before="240"/>
        <w:jc w:val="center"/>
      </w:pPr>
      <w:r>
        <w:rPr>
          <w:b/>
          <w:color w:val="267CA8"/>
          <w:sz w:val="44"/>
        </w:rPr>
        <w:t>Software Requirements Specification</w:t>
      </w:r>
    </w:p>
    <w:p>
      <w:pPr>
        <w:spacing w:before="480"/>
        <w:jc w:val="center"/>
      </w:pPr>
      <w:r>
        <w:rPr>
          <w:i/>
          <w:color w:val="566573"/>
          <w:sz w:val="24"/>
        </w:rPr>
        <w:t>A concise, implementation-aligned specification</w:t>
      </w:r>
    </w:p>
    <w:p/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185"/>
        <w:gridCol w:w="5185"/>
      </w:tblGrid>
      <w:tr>
        <w:tc>
          <w:tcPr>
            <w:tcW w:type="dxa" w:w="5185"/>
            <w:vAlign w:val="center"/>
            <w:shd w:fill="EAF2F8"/>
          </w:tcPr>
          <w:p>
            <w:r>
              <w:rPr>
                <w:sz w:val="18"/>
              </w:rPr>
              <w:t>Programme</w:t>
            </w:r>
          </w:p>
        </w:tc>
        <w:tc>
          <w:tcPr>
            <w:tcW w:type="dxa" w:w="5185"/>
            <w:vAlign w:val="center"/>
          </w:tcPr>
          <w:p>
            <w:r>
              <w:rPr>
                <w:sz w:val="18"/>
              </w:rPr>
              <w:t>Diploma in Advanced AI &amp; Software Engineering</w:t>
            </w:r>
          </w:p>
        </w:tc>
      </w:tr>
      <w:tr>
        <w:tc>
          <w:tcPr>
            <w:tcW w:type="dxa" w:w="5185"/>
            <w:vAlign w:val="center"/>
            <w:shd w:fill="EAF2F8"/>
          </w:tcPr>
          <w:p>
            <w:r>
              <w:rPr>
                <w:sz w:val="18"/>
              </w:rPr>
              <w:t>Repository baseline</w:t>
            </w:r>
          </w:p>
        </w:tc>
        <w:tc>
          <w:tcPr>
            <w:tcW w:type="dxa" w:w="5185"/>
            <w:vAlign w:val="center"/>
          </w:tcPr>
          <w:p>
            <w:r>
              <w:rPr>
                <w:sz w:val="18"/>
              </w:rPr>
              <w:t>main at b653835</w:t>
            </w:r>
          </w:p>
        </w:tc>
      </w:tr>
      <w:tr>
        <w:tc>
          <w:tcPr>
            <w:tcW w:type="dxa" w:w="5185"/>
            <w:vAlign w:val="center"/>
            <w:shd w:fill="EAF2F8"/>
          </w:tcPr>
          <w:p>
            <w:r>
              <w:rPr>
                <w:sz w:val="18"/>
              </w:rPr>
              <w:t>Documentation baseline</w:t>
            </w:r>
          </w:p>
        </w:tc>
        <w:tc>
          <w:tcPr>
            <w:tcW w:type="dxa" w:w="5185"/>
            <w:vAlign w:val="center"/>
          </w:tcPr>
          <w:p>
            <w:r>
              <w:rPr>
                <w:sz w:val="18"/>
              </w:rPr>
              <w:t>Current FastAPI, Angular, models and QA artefacts</w:t>
            </w:r>
          </w:p>
        </w:tc>
      </w:tr>
      <w:tr>
        <w:tc>
          <w:tcPr>
            <w:tcW w:type="dxa" w:w="5185"/>
            <w:vAlign w:val="center"/>
            <w:shd w:fill="EAF2F8"/>
          </w:tcPr>
          <w:p>
            <w:r>
              <w:rPr>
                <w:sz w:val="18"/>
              </w:rPr>
              <w:t>Revision</w:t>
            </w:r>
          </w:p>
        </w:tc>
        <w:tc>
          <w:tcPr>
            <w:tcW w:type="dxa" w:w="5185"/>
            <w:vAlign w:val="center"/>
          </w:tcPr>
          <w:p>
            <w:r>
              <w:rPr>
                <w:sz w:val="18"/>
              </w:rPr>
              <w:t>21 July 2026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1. Purpose, scope and source of truth</w:t>
      </w:r>
    </w:p>
    <w:p>
      <w:pPr>
        <w:spacing w:after="100"/>
      </w:pPr>
      <w:r>
        <w:rPr>
          <w:b w:val="0"/>
        </w:rPr>
        <w:t>Smart Hire is a web marketplace that lets customers discover services, request bookings and communicate with providers. Providers publish services and manage confirmed work; administrators govern accounts, catalogue content and operational data.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0370"/>
      </w:tblGrid>
      <w:tr>
        <w:tc>
          <w:tcPr>
            <w:tcW w:type="dxa" w:w="10370"/>
            <w:shd w:fill="FFF7E8"/>
          </w:tcPr>
          <w:p>
            <w:r>
              <w:rPr>
                <w:b/>
              </w:rPr>
              <w:t xml:space="preserve">Evidence basis: </w:t>
            </w:r>
            <w:r>
              <w:t>This revision reflects the current repository: FastAPI routers/services/models, Angular routes, the supplied Supabase schema export, README and QA documentation. Requirements below are stated as implemented capabilities unless explicitly marked as a constraint or future work.</w:t>
            </w:r>
          </w:p>
        </w:tc>
      </w:tr>
    </w:tbl>
    <w:p/>
    <w:p>
      <w:pPr>
        <w:pStyle w:val="Heading2"/>
        <w:keepNext/>
      </w:pPr>
      <w:r>
        <w:t>In scope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185"/>
        <w:gridCol w:w="5185"/>
      </w:tblGrid>
      <w:tr>
        <w:trPr>
          <w:tblHeader w:val="true"/>
        </w:trPr>
        <w:tc>
          <w:tcPr>
            <w:tcW w:type="dxa" w:w="1814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Area</w:t>
            </w:r>
          </w:p>
        </w:tc>
        <w:tc>
          <w:tcPr>
            <w:tcW w:type="dxa" w:w="7654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Implemented requirement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Identity</w:t>
            </w:r>
          </w:p>
        </w:tc>
        <w:tc>
          <w:tcPr>
            <w:tcW w:type="dxa" w:w="765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Register customer/provider accounts, authenticate with JWT, edit own profile and enforce active-account/role checks.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Marketplace</w:t>
            </w:r>
          </w:p>
        </w:tc>
        <w:tc>
          <w:tcPr>
            <w:tcW w:type="dxa" w:w="765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Browse active services; filter by text, category, city and price; save favourites; provider service areas and availability.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Booking lifecycle</w:t>
            </w:r>
          </w:p>
        </w:tc>
        <w:tc>
          <w:tcPr>
            <w:tcW w:type="dxa" w:w="765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Customer creates a future booking; provider accepts/rejects/completes; customer may cancel eligible bookings.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Commerce &amp; feedback</w:t>
            </w:r>
          </w:p>
        </w:tc>
        <w:tc>
          <w:tcPr>
            <w:tcW w:type="dxa" w:w="765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Customer reviews completed own bookings; simulated completed payment; notifications; booking-linked messaging.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Administration</w:t>
            </w:r>
          </w:p>
        </w:tc>
        <w:tc>
          <w:tcPr>
            <w:tcW w:type="dxa" w:w="765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Dashboard data, users/status/email verification/provider verification, categories, service status, bookings, reviews and payments.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AI</w:t>
            </w:r>
          </w:p>
        </w:tc>
        <w:tc>
          <w:tcPr>
            <w:tcW w:type="dxa" w:w="7654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Persisted chat, category/service recommendation, supplied-list provider comparison, review summarisation and controlled booking/availability/cancellation tools.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Explicit exclusions and constraints</w:t>
      </w:r>
    </w:p>
    <w:p>
      <w:pPr>
        <w:pStyle w:val="ListBullet"/>
        <w:spacing w:after="40"/>
      </w:pPr>
      <w:r>
        <w:t>No external payment-gateway callback, settlement or refund integration is implemented; payment creation is simulated and immediately completed.</w:t>
      </w:r>
    </w:p>
    <w:p>
      <w:pPr>
        <w:pStyle w:val="ListBullet"/>
        <w:spacing w:after="40"/>
      </w:pPr>
      <w:r>
        <w:t>No semantic/vector search is connected to the recommendation route. The service_embeddings table exists but is not queried by the implemented recommendation flow.</w:t>
      </w:r>
    </w:p>
    <w:p>
      <w:pPr>
        <w:pStyle w:val="ListBullet"/>
        <w:spacing w:after="40"/>
      </w:pPr>
      <w:r>
        <w:t>No government/third-party provider-verification workflow, complaints/reports workflow, service-image upload endpoint or public booking address/amount fields are present.</w:t>
      </w:r>
    </w:p>
    <w:p>
      <w:pPr>
        <w:pStyle w:val="ListBullet"/>
        <w:spacing w:after="40"/>
      </w:pPr>
      <w:r>
        <w:t>Booking status contains in_progress in the data enum, but the public router currently exposes accept, reject, cancel and complete transitions only.</w:t>
      </w:r>
    </w:p>
    <w:p>
      <w:r>
        <w:br w:type="page"/>
      </w:r>
    </w:p>
    <w:p>
      <w:pPr>
        <w:pStyle w:val="Heading1"/>
        <w:keepNext/>
      </w:pPr>
      <w:r>
        <w:t>2. System context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30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30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1. Deployed logical architecture and responsibility boundary.</w:t>
      </w:r>
    </w:p>
    <w:p>
      <w:pPr>
        <w:pStyle w:val="Heading2"/>
        <w:keepNext/>
      </w:pPr>
      <w:r>
        <w:t>Actors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rPr>
          <w:tblHeader w:val="true"/>
        </w:trPr>
        <w:tc>
          <w:tcPr>
            <w:tcW w:type="dxa" w:w="1587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Actor</w:t>
            </w:r>
          </w:p>
        </w:tc>
        <w:tc>
          <w:tcPr>
            <w:tcW w:type="dxa" w:w="4819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Primary goals</w:t>
            </w:r>
          </w:p>
        </w:tc>
        <w:tc>
          <w:tcPr>
            <w:tcW w:type="dxa" w:w="3061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Authorization boundary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Customer</w:t>
            </w:r>
          </w:p>
        </w:tc>
        <w:tc>
          <w:tcPr>
            <w:tcW w:type="dxa" w:w="4819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Discover, save and book services; pay/review completed work; message provider; use assistant.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Own data and customer-only actions.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Provider</w:t>
            </w:r>
          </w:p>
        </w:tc>
        <w:tc>
          <w:tcPr>
            <w:tcW w:type="dxa" w:w="4819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Maintain profile/services/areas/availability; act on bookings; inspect reviews and summaries.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Own listings and provider-only actions.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Administrator</w:t>
            </w:r>
          </w:p>
        </w:tc>
        <w:tc>
          <w:tcPr>
            <w:tcW w:type="dxa" w:w="4819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Monitor and moderate platform records; manage statuses/categories.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Admin-only management endpoints.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OpenAI / MCP client</w:t>
            </w:r>
          </w:p>
        </w:tc>
        <w:tc>
          <w:tcPr>
            <w:tcW w:type="dxa" w:w="4819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Generate assistance or access MCP tools.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OpenAI is backend-only; MCP is a separate stdio integration.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3. Functional requirements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rPr>
          <w:tblHeader w:val="true"/>
        </w:trPr>
        <w:tc>
          <w:tcPr>
            <w:tcW w:type="dxa" w:w="793"/>
            <w:shd w:fill="173B5B"/>
            <w:vAlign w:val="center"/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4819"/>
            <w:shd w:fill="173B5B"/>
            <w:vAlign w:val="center"/>
          </w:tcPr>
          <w:p>
            <w:r>
              <w:rPr>
                <w:b/>
                <w:color w:val="FFFFFF"/>
                <w:sz w:val="15"/>
              </w:rPr>
              <w:t>Requirement</w:t>
            </w:r>
          </w:p>
        </w:tc>
        <w:tc>
          <w:tcPr>
            <w:tcW w:type="dxa" w:w="3855"/>
            <w:shd w:fill="173B5B"/>
            <w:vAlign w:val="center"/>
          </w:tcPr>
          <w:p>
            <w:r>
              <w:rPr>
                <w:b/>
                <w:color w:val="FFFFFF"/>
                <w:sz w:val="15"/>
              </w:rPr>
              <w:t>Acceptance evidence</w:t>
            </w:r>
          </w:p>
        </w:tc>
      </w:tr>
      <w:tr>
        <w:tc>
          <w:tcPr>
            <w:tcW w:type="dxa" w:w="793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FR-01</w:t>
            </w:r>
          </w:p>
        </w:tc>
        <w:tc>
          <w:tcPr>
            <w:tcW w:type="dxa" w:w="4819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The system shall register customer/provider accounts and issue JWT tokens at login.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Auth registration/login/me routes; hashed password is not returned.</w:t>
            </w:r>
          </w:p>
        </w:tc>
      </w:tr>
      <w:tr>
        <w:tc>
          <w:tcPr>
            <w:tcW w:type="dxa" w:w="793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FR-02</w:t>
            </w:r>
          </w:p>
        </w:tc>
        <w:tc>
          <w:tcPr>
            <w:tcW w:type="dxa" w:w="4819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The system shall limit write actions to active accounts and expected roles.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require_active_user and require_roles dependencies.</w:t>
            </w:r>
          </w:p>
        </w:tc>
      </w:tr>
      <w:tr>
        <w:tc>
          <w:tcPr>
            <w:tcW w:type="dxa" w:w="793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FR-03</w:t>
            </w:r>
          </w:p>
        </w:tc>
        <w:tc>
          <w:tcPr>
            <w:tcW w:type="dxa" w:w="4819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Customers shall discover active service listings and manage favourites.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Public services query + customer favourite routes.</w:t>
            </w:r>
          </w:p>
        </w:tc>
      </w:tr>
      <w:tr>
        <w:tc>
          <w:tcPr>
            <w:tcW w:type="dxa" w:w="793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FR-04</w:t>
            </w:r>
          </w:p>
        </w:tc>
        <w:tc>
          <w:tcPr>
            <w:tcW w:type="dxa" w:w="4819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Providers shall manage own services, service areas and weekly availability.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Provider-only service, area and availability routes.</w:t>
            </w:r>
          </w:p>
        </w:tc>
      </w:tr>
      <w:tr>
        <w:tc>
          <w:tcPr>
            <w:tcW w:type="dxa" w:w="793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FR-05</w:t>
            </w:r>
          </w:p>
        </w:tc>
        <w:tc>
          <w:tcPr>
            <w:tcW w:type="dxa" w:w="4819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Customers shall request future appointments; providers shall decide or complete them.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Booking service validates participant, state and date.</w:t>
            </w:r>
          </w:p>
        </w:tc>
      </w:tr>
      <w:tr>
        <w:tc>
          <w:tcPr>
            <w:tcW w:type="dxa" w:w="793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FR-06</w:t>
            </w:r>
          </w:p>
        </w:tc>
        <w:tc>
          <w:tcPr>
            <w:tcW w:type="dxa" w:w="4819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Booking participants shall exchange messages and receive a notification for a new message.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messages router and NotificationService.</w:t>
            </w:r>
          </w:p>
        </w:tc>
      </w:tr>
      <w:tr>
        <w:tc>
          <w:tcPr>
            <w:tcW w:type="dxa" w:w="793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FR-07</w:t>
            </w:r>
          </w:p>
        </w:tc>
        <w:tc>
          <w:tcPr>
            <w:tcW w:type="dxa" w:w="4819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Reviews and payments shall require a completed booking and ownership checks.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Reviews/payments services and tests.</w:t>
            </w:r>
          </w:p>
        </w:tc>
      </w:tr>
      <w:tr>
        <w:tc>
          <w:tcPr>
            <w:tcW w:type="dxa" w:w="793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FR-08</w:t>
            </w:r>
          </w:p>
        </w:tc>
        <w:tc>
          <w:tcPr>
            <w:tcW w:type="dxa" w:w="4819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Administrators shall manage platform records and statuses.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Admin router role gate.</w:t>
            </w:r>
          </w:p>
        </w:tc>
      </w:tr>
      <w:tr>
        <w:tc>
          <w:tcPr>
            <w:tcW w:type="dxa" w:w="793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FR-09</w:t>
            </w:r>
          </w:p>
        </w:tc>
        <w:tc>
          <w:tcPr>
            <w:tcW w:type="dxa" w:w="4819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AI chat shall retain user-owned conversation history and allow only explicit tool-based booking actions.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</w:pPr>
            <w:r>
              <w:rPr>
                <w:sz w:val="15"/>
              </w:rPr>
              <w:t>AI conversation/message models; booking tools require service/date/time confirmation.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Critical workflow requirements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307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oking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30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2. Core transaction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307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booking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30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3. Controlled AI booking hand-off.</w:t>
      </w:r>
    </w:p>
    <w:p>
      <w:pPr>
        <w:pStyle w:val="Heading2"/>
        <w:keepNext/>
      </w:pPr>
      <w:r>
        <w:t>AI behaviour requirements</w:t>
      </w:r>
    </w:p>
    <w:p>
      <w:pPr>
        <w:pStyle w:val="ListBullet"/>
        <w:spacing w:after="40"/>
      </w:pPr>
      <w:r>
        <w:t>Chat writes both user and assistant messages to a conversation owned by the authenticated user; analytics exposes only that user's aggregate counts.</w:t>
      </w:r>
    </w:p>
    <w:p>
      <w:pPr>
        <w:pStyle w:val="ListBullet"/>
        <w:spacing w:after="40"/>
      </w:pPr>
      <w:r>
        <w:t>Customer chat context contains current listings and the customer's recent bookings. Provider chat uses provider-specific context and has no customer booking tools.</w:t>
      </w:r>
    </w:p>
    <w:p>
      <w:pPr>
        <w:pStyle w:val="ListBullet"/>
        <w:spacing w:after="40"/>
      </w:pPr>
      <w:r>
        <w:t>A model tool call can check availability, create a booking or cancel a booking. Tool logic applies application validation; optional use_mcp routes the call through the standalone MCP server.</w:t>
      </w:r>
    </w:p>
    <w:p>
      <w:pPr>
        <w:pStyle w:val="ListBullet"/>
        <w:spacing w:after="40"/>
      </w:pPr>
      <w:r>
        <w:t>Recommendation selects a valid stored category and returns up to six active services. Provider-match ranks only a caller-supplied provider list.</w:t>
      </w:r>
    </w:p>
    <w:p>
      <w:pPr>
        <w:pStyle w:val="Heading1"/>
        <w:keepNext/>
      </w:pPr>
      <w:r>
        <w:t>5. Quality, security and data requirements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185"/>
        <w:gridCol w:w="5185"/>
      </w:tblGrid>
      <w:tr>
        <w:trPr>
          <w:tblHeader w:val="true"/>
        </w:trPr>
        <w:tc>
          <w:tcPr>
            <w:tcW w:type="dxa" w:w="1701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7767"/>
            <w:shd w:fill="173B5B"/>
            <w:vAlign w:val="center"/>
          </w:tcPr>
          <w:p>
            <w:r>
              <w:rPr>
                <w:b/>
                <w:color w:val="FFFFFF"/>
                <w:sz w:val="16"/>
              </w:rPr>
              <w:t>Requirement / present control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Security</w:t>
            </w:r>
          </w:p>
        </w:tc>
        <w:tc>
          <w:tcPr>
            <w:tcW w:type="dxa" w:w="776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JWT bearer authentication; passwords stored as hashes; role/ownership checks; active-account guard for actions; OpenAI key remains server-side.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Privacy</w:t>
            </w:r>
          </w:p>
        </w:tc>
        <w:tc>
          <w:tcPr>
            <w:tcW w:type="dxa" w:w="776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Conversation retrieval filters by authenticated user; messages require booking participation; public provider output excludes password hash.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Reliability</w:t>
            </w:r>
          </w:p>
        </w:tc>
        <w:tc>
          <w:tcPr>
            <w:tcW w:type="dxa" w:w="776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FastAPI returns validation/authorization errors; AI adapter gives a safe fallback message if the provider is unavailable.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Data integrity</w:t>
            </w:r>
          </w:p>
        </w:tc>
        <w:tc>
          <w:tcPr>
            <w:tcW w:type="dxa" w:w="776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Foreign keys, unique email/favourite/review/summary/embedding constraints and model validation support consistent records.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Performance</w:t>
            </w:r>
          </w:p>
        </w:tc>
        <w:tc>
          <w:tcPr>
            <w:tcW w:type="dxa" w:w="776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Indexed primary/foreign-key and frequently searched columns in models; service searches are filtered at query level.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Usability</w:t>
            </w:r>
          </w:p>
        </w:tc>
        <w:tc>
          <w:tcPr>
            <w:tcW w:type="dxa" w:w="7767"/>
            <w:vAlign w:val="center"/>
          </w:tcPr>
          <w:p>
            <w:pPr>
              <w:spacing w:after="20" w:before="20"/>
            </w:pPr>
            <w:r>
              <w:rPr>
                <w:sz w:val="16"/>
              </w:rPr>
              <w:t>Angular provides role-specific routes and a full AI assistant plus floating chat widget.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879" w:right="935" w:bottom="822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66573"/>
        <w:sz w:val="16"/>
      </w:rPr>
      <w:t>Smart Hire | SRS | Version 2.0 | 21 July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B5B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67CA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7C8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b/>
      <w:color w:val="173B5B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tos" w:hAnsi="Aptos"/>
      <w:b/>
      <w:bCs/>
      <w:i/>
      <w:color w:val="566573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