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760"/>
        <w:jc w:val="center"/>
      </w:pPr>
      <w:r>
        <w:rPr>
          <w:b/>
          <w:color w:val="007C83"/>
          <w:sz w:val="26"/>
        </w:rPr>
        <w:t>C-CLARKE INTERNATIONAL INSTITUTE</w:t>
        <w:br/>
        <w:t>OF DIGITAL SCIENCES</w:t>
      </w:r>
    </w:p>
    <w:p>
      <w:pPr>
        <w:spacing w:before="900"/>
        <w:jc w:val="center"/>
      </w:pPr>
      <w:r>
        <w:rPr>
          <w:b/>
          <w:color w:val="173B5B"/>
          <w:sz w:val="72"/>
        </w:rPr>
        <w:t>SMART HIRE</w:t>
      </w:r>
    </w:p>
    <w:p>
      <w:pPr>
        <w:spacing w:before="240"/>
        <w:jc w:val="center"/>
      </w:pPr>
      <w:r>
        <w:rPr>
          <w:b/>
          <w:color w:val="267CA8"/>
          <w:sz w:val="44"/>
        </w:rPr>
        <w:t>Work Breakdown Structure</w:t>
      </w:r>
    </w:p>
    <w:p>
      <w:pPr>
        <w:spacing w:before="480"/>
        <w:jc w:val="center"/>
      </w:pPr>
      <w:r>
        <w:rPr>
          <w:i/>
          <w:color w:val="566573"/>
          <w:sz w:val="24"/>
        </w:rPr>
        <w:t>Scope, ownership and delivery plan aligned to the repository</w:t>
      </w:r>
    </w:p>
    <w:p/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185"/>
        <w:gridCol w:w="5185"/>
      </w:tblGrid>
      <w:tr>
        <w:tc>
          <w:tcPr>
            <w:tcW w:type="dxa" w:w="5185"/>
            <w:vAlign w:val="center"/>
            <w:shd w:fill="EAF2F8"/>
          </w:tcPr>
          <w:p>
            <w:r>
              <w:rPr>
                <w:sz w:val="18"/>
              </w:rPr>
              <w:t>Programme</w:t>
            </w:r>
          </w:p>
        </w:tc>
        <w:tc>
          <w:tcPr>
            <w:tcW w:type="dxa" w:w="5185"/>
            <w:vAlign w:val="center"/>
          </w:tcPr>
          <w:p>
            <w:r>
              <w:rPr>
                <w:sz w:val="18"/>
              </w:rPr>
              <w:t>Diploma in Advanced AI &amp; Software Engineering</w:t>
            </w:r>
          </w:p>
        </w:tc>
      </w:tr>
      <w:tr>
        <w:tc>
          <w:tcPr>
            <w:tcW w:type="dxa" w:w="5185"/>
            <w:vAlign w:val="center"/>
            <w:shd w:fill="EAF2F8"/>
          </w:tcPr>
          <w:p>
            <w:r>
              <w:rPr>
                <w:sz w:val="18"/>
              </w:rPr>
              <w:t>Repository baseline</w:t>
            </w:r>
          </w:p>
        </w:tc>
        <w:tc>
          <w:tcPr>
            <w:tcW w:type="dxa" w:w="5185"/>
            <w:vAlign w:val="center"/>
          </w:tcPr>
          <w:p>
            <w:r>
              <w:rPr>
                <w:sz w:val="18"/>
              </w:rPr>
              <w:t>main at b653835</w:t>
            </w:r>
          </w:p>
        </w:tc>
      </w:tr>
      <w:tr>
        <w:tc>
          <w:tcPr>
            <w:tcW w:type="dxa" w:w="5185"/>
            <w:vAlign w:val="center"/>
            <w:shd w:fill="EAF2F8"/>
          </w:tcPr>
          <w:p>
            <w:r>
              <w:rPr>
                <w:sz w:val="18"/>
              </w:rPr>
              <w:t>Documentation baseline</w:t>
            </w:r>
          </w:p>
        </w:tc>
        <w:tc>
          <w:tcPr>
            <w:tcW w:type="dxa" w:w="5185"/>
            <w:vAlign w:val="center"/>
          </w:tcPr>
          <w:p>
            <w:r>
              <w:rPr>
                <w:sz w:val="18"/>
              </w:rPr>
              <w:t>Current FastAPI, Angular, models and QA artefacts</w:t>
            </w:r>
          </w:p>
        </w:tc>
      </w:tr>
      <w:tr>
        <w:tc>
          <w:tcPr>
            <w:tcW w:type="dxa" w:w="5185"/>
            <w:vAlign w:val="center"/>
            <w:shd w:fill="EAF2F8"/>
          </w:tcPr>
          <w:p>
            <w:r>
              <w:rPr>
                <w:sz w:val="18"/>
              </w:rPr>
              <w:t>Revision</w:t>
            </w:r>
          </w:p>
        </w:tc>
        <w:tc>
          <w:tcPr>
            <w:tcW w:type="dxa" w:w="5185"/>
            <w:vAlign w:val="center"/>
          </w:tcPr>
          <w:p>
            <w:r>
              <w:rPr>
                <w:sz w:val="18"/>
              </w:rPr>
              <w:t>21 July 2026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1. Scope decomposition</w:t>
      </w:r>
    </w:p>
    <w:p>
      <w:pPr>
        <w:spacing w:after="100"/>
      </w:pPr>
      <w:r>
        <w:rPr>
          <w:b w:val="0"/>
        </w:rPr>
        <w:t>The WBS groups completed repository work into verifiable deliverables. It is not a reconstructed timesheet; it avoids unverified dates, person-hours and completion percentages.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30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30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1. Deliverable-oriented work breakdown structure.</w:t>
      </w:r>
    </w:p>
    <w:p>
      <w:pPr>
        <w:pStyle w:val="Heading1"/>
        <w:keepNext/>
      </w:pPr>
      <w:r>
        <w:t>2. Work packages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457"/>
        <w:gridCol w:w="3457"/>
        <w:gridCol w:w="3457"/>
      </w:tblGrid>
      <w:tr>
        <w:trPr>
          <w:tblHeader w:val="true"/>
        </w:trPr>
        <w:tc>
          <w:tcPr>
            <w:tcW w:type="dxa" w:w="850"/>
            <w:shd w:fill="173B5B"/>
            <w:vAlign w:val="center"/>
          </w:tcPr>
          <w:p>
            <w:r>
              <w:rPr>
                <w:b/>
                <w:color w:val="FFFFFF"/>
                <w:sz w:val="16"/>
              </w:rPr>
              <w:t>WBS</w:t>
            </w:r>
          </w:p>
        </w:tc>
        <w:tc>
          <w:tcPr>
            <w:tcW w:type="dxa" w:w="2551"/>
            <w:shd w:fill="173B5B"/>
            <w:vAlign w:val="center"/>
          </w:tcPr>
          <w:p>
            <w:r>
              <w:rPr>
                <w:b/>
                <w:color w:val="FFFFFF"/>
                <w:sz w:val="16"/>
              </w:rPr>
              <w:t>Deliverable</w:t>
            </w:r>
          </w:p>
        </w:tc>
        <w:tc>
          <w:tcPr>
            <w:tcW w:type="dxa" w:w="6066"/>
            <w:shd w:fill="173B5B"/>
            <w:vAlign w:val="center"/>
          </w:tcPr>
          <w:p>
            <w:r>
              <w:rPr>
                <w:b/>
                <w:color w:val="FFFFFF"/>
                <w:sz w:val="16"/>
              </w:rPr>
              <w:t>Verifiable output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1.0</w:t>
            </w:r>
          </w:p>
        </w:tc>
        <w:tc>
          <w:tcPr>
            <w:tcW w:type="dxa" w:w="255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Planning &amp; design</w:t>
            </w:r>
          </w:p>
        </w:tc>
        <w:tc>
          <w:tcPr>
            <w:tcW w:type="dxa" w:w="6066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SRS, use cases, user stories, API and database documents.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2.0</w:t>
            </w:r>
          </w:p>
        </w:tc>
        <w:tc>
          <w:tcPr>
            <w:tcW w:type="dxa" w:w="255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Identity &amp; profiles</w:t>
            </w:r>
          </w:p>
        </w:tc>
        <w:tc>
          <w:tcPr>
            <w:tcW w:type="dxa" w:w="6066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Registration/login, JWT, role guards, customer/provider profile APIs.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3.0</w:t>
            </w:r>
          </w:p>
        </w:tc>
        <w:tc>
          <w:tcPr>
            <w:tcW w:type="dxa" w:w="255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Marketplace</w:t>
            </w:r>
          </w:p>
        </w:tc>
        <w:tc>
          <w:tcPr>
            <w:tcW w:type="dxa" w:w="6066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Categories, service CRUD/search, favourites, areas and availability.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4.0</w:t>
            </w:r>
          </w:p>
        </w:tc>
        <w:tc>
          <w:tcPr>
            <w:tcW w:type="dxa" w:w="255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Transactions</w:t>
            </w:r>
          </w:p>
        </w:tc>
        <w:tc>
          <w:tcPr>
            <w:tcW w:type="dxa" w:w="6066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Booking lifecycle, notifications, booking-scoped messages, reviews and simulated payments.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5.0</w:t>
            </w:r>
          </w:p>
        </w:tc>
        <w:tc>
          <w:tcPr>
            <w:tcW w:type="dxa" w:w="255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Administration</w:t>
            </w:r>
          </w:p>
        </w:tc>
        <w:tc>
          <w:tcPr>
            <w:tcW w:type="dxa" w:w="6066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Dashboard metrics, user/provider/category/service/payment/review/booking management.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6.0</w:t>
            </w:r>
          </w:p>
        </w:tc>
        <w:tc>
          <w:tcPr>
            <w:tcW w:type="dxa" w:w="255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AI &amp; integration</w:t>
            </w:r>
          </w:p>
        </w:tc>
        <w:tc>
          <w:tcPr>
            <w:tcW w:type="dxa" w:w="6066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Persistent assistant, recommendations, review summaries, controlled tools and MCP server.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7.0</w:t>
            </w:r>
          </w:p>
        </w:tc>
        <w:tc>
          <w:tcPr>
            <w:tcW w:type="dxa" w:w="255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Quality &amp; handoff</w:t>
            </w:r>
          </w:p>
        </w:tc>
        <w:tc>
          <w:tcPr>
            <w:tcW w:type="dxa" w:w="6066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Automated suites, smoke/MCP scripts, manual checklist and project documentation.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t>3. Team responsibility map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457"/>
        <w:gridCol w:w="3457"/>
        <w:gridCol w:w="3457"/>
      </w:tblGrid>
      <w:tr>
        <w:trPr>
          <w:tblHeader w:val="true"/>
        </w:trPr>
        <w:tc>
          <w:tcPr>
            <w:tcW w:type="dxa" w:w="1190"/>
            <w:shd w:fill="173B5B"/>
            <w:vAlign w:val="center"/>
          </w:tcPr>
          <w:p>
            <w:r>
              <w:rPr>
                <w:b/>
                <w:color w:val="FFFFFF"/>
                <w:sz w:val="16"/>
              </w:rPr>
              <w:t>Member</w:t>
            </w:r>
          </w:p>
        </w:tc>
        <w:tc>
          <w:tcPr>
            <w:tcW w:type="dxa" w:w="2268"/>
            <w:shd w:fill="173B5B"/>
            <w:vAlign w:val="center"/>
          </w:tcPr>
          <w:p>
            <w:r>
              <w:rPr>
                <w:b/>
                <w:color w:val="FFFFFF"/>
                <w:sz w:val="16"/>
              </w:rPr>
              <w:t>Primary module</w:t>
            </w:r>
          </w:p>
        </w:tc>
        <w:tc>
          <w:tcPr>
            <w:tcW w:type="dxa" w:w="6010"/>
            <w:shd w:fill="173B5B"/>
            <w:vAlign w:val="center"/>
          </w:tcPr>
          <w:p>
            <w:r>
              <w:rPr>
                <w:b/>
                <w:color w:val="FFFFFF"/>
                <w:sz w:val="16"/>
              </w:rPr>
              <w:t>Current cross-layer contribution</w:t>
            </w:r>
          </w:p>
        </w:tc>
      </w:tr>
      <w:tr>
        <w:tc>
          <w:tcPr>
            <w:tcW w:type="dxa" w:w="11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Member 1</w:t>
            </w:r>
          </w:p>
        </w:tc>
        <w:tc>
          <w:tcPr>
            <w:tcW w:type="dxa" w:w="2268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Authentication &amp; users</w:t>
            </w:r>
          </w:p>
        </w:tc>
        <w:tc>
          <w:tcPr>
            <w:tcW w:type="dxa" w:w="601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JWT/auth, profiles, guards/interceptor and user data.</w:t>
            </w:r>
          </w:p>
        </w:tc>
      </w:tr>
      <w:tr>
        <w:tc>
          <w:tcPr>
            <w:tcW w:type="dxa" w:w="11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Member 2</w:t>
            </w:r>
          </w:p>
        </w:tc>
        <w:tc>
          <w:tcPr>
            <w:tcW w:type="dxa" w:w="2268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Services &amp; categories</w:t>
            </w:r>
          </w:p>
        </w:tc>
        <w:tc>
          <w:tcPr>
            <w:tcW w:type="dxa" w:w="601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Catalogue, search/filtering, provider service management and areas.</w:t>
            </w:r>
          </w:p>
        </w:tc>
      </w:tr>
      <w:tr>
        <w:tc>
          <w:tcPr>
            <w:tcW w:type="dxa" w:w="11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Member 3</w:t>
            </w:r>
          </w:p>
        </w:tc>
        <w:tc>
          <w:tcPr>
            <w:tcW w:type="dxa" w:w="2268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Bookings &amp; notifications</w:t>
            </w:r>
          </w:p>
        </w:tc>
        <w:tc>
          <w:tcPr>
            <w:tcW w:type="dxa" w:w="601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Booking workflow, availability, status notifications and messaging integration.</w:t>
            </w:r>
          </w:p>
        </w:tc>
      </w:tr>
      <w:tr>
        <w:tc>
          <w:tcPr>
            <w:tcW w:type="dxa" w:w="11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Member 4</w:t>
            </w:r>
          </w:p>
        </w:tc>
        <w:tc>
          <w:tcPr>
            <w:tcW w:type="dxa" w:w="2268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Reviews, payments &amp; admin</w:t>
            </w:r>
          </w:p>
        </w:tc>
        <w:tc>
          <w:tcPr>
            <w:tcW w:type="dxa" w:w="601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Feedback, simulated payments, operational dashboard/moderation.</w:t>
            </w:r>
          </w:p>
        </w:tc>
      </w:tr>
      <w:tr>
        <w:tc>
          <w:tcPr>
            <w:tcW w:type="dxa" w:w="11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Member 5</w:t>
            </w:r>
          </w:p>
        </w:tc>
        <w:tc>
          <w:tcPr>
            <w:tcW w:type="dxa" w:w="2268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AI assistant &amp; recommendations</w:t>
            </w:r>
          </w:p>
        </w:tc>
        <w:tc>
          <w:tcPr>
            <w:tcW w:type="dxa" w:w="601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OpenAI adapter, chat persistence, recommendation/summaries, controlled booking tools, MCP integration.</w:t>
            </w:r>
          </w:p>
        </w:tc>
      </w:tr>
      <w:tr>
        <w:tc>
          <w:tcPr>
            <w:tcW w:type="dxa" w:w="11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Whole team</w:t>
            </w:r>
          </w:p>
        </w:tc>
        <w:tc>
          <w:tcPr>
            <w:tcW w:type="dxa" w:w="2268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Integration &amp; QA</w:t>
            </w:r>
          </w:p>
        </w:tc>
        <w:tc>
          <w:tcPr>
            <w:tcW w:type="dxa" w:w="601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Shared model/API/frontend integration, regression checks and academic evidence.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307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30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2. Delivery sequence by dependency and product area.</w:t>
      </w:r>
    </w:p>
    <w:p>
      <w:r>
        <w:br w:type="page"/>
      </w:r>
    </w:p>
    <w:p>
      <w:pPr>
        <w:pStyle w:val="Heading1"/>
        <w:keepNext/>
      </w:pPr>
      <w:r>
        <w:t>4. Acceptance milestones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457"/>
        <w:gridCol w:w="3457"/>
        <w:gridCol w:w="3457"/>
      </w:tblGrid>
      <w:tr>
        <w:trPr>
          <w:tblHeader w:val="true"/>
        </w:trPr>
        <w:tc>
          <w:tcPr>
            <w:tcW w:type="dxa" w:w="1530"/>
            <w:shd w:fill="173B5B"/>
            <w:vAlign w:val="center"/>
          </w:tcPr>
          <w:p>
            <w:r>
              <w:rPr>
                <w:b/>
                <w:color w:val="FFFFFF"/>
                <w:sz w:val="15"/>
              </w:rPr>
              <w:t>Milestone</w:t>
            </w:r>
          </w:p>
        </w:tc>
        <w:tc>
          <w:tcPr>
            <w:tcW w:type="dxa" w:w="4025"/>
            <w:shd w:fill="173B5B"/>
            <w:vAlign w:val="center"/>
          </w:tcPr>
          <w:p>
            <w:r>
              <w:rPr>
                <w:b/>
                <w:color w:val="FFFFFF"/>
                <w:sz w:val="15"/>
              </w:rPr>
              <w:t>Completion evidence</w:t>
            </w:r>
          </w:p>
        </w:tc>
        <w:tc>
          <w:tcPr>
            <w:tcW w:type="dxa" w:w="3912"/>
            <w:shd w:fill="173B5B"/>
            <w:vAlign w:val="center"/>
          </w:tcPr>
          <w:p>
            <w:r>
              <w:rPr>
                <w:b/>
                <w:color w:val="FFFFFF"/>
                <w:sz w:val="15"/>
              </w:rPr>
              <w:t>Current limitation to retain</w:t>
            </w:r>
          </w:p>
        </w:tc>
      </w:tr>
      <w:tr>
        <w:tc>
          <w:tcPr>
            <w:tcW w:type="dxa" w:w="1530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Foundation</w:t>
            </w:r>
          </w:p>
        </w:tc>
        <w:tc>
          <w:tcPr>
            <w:tcW w:type="dxa" w:w="4025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App boots; health endpoints; role-aware authentication and database models exist.</w:t>
            </w:r>
          </w:p>
        </w:tc>
        <w:tc>
          <w:tcPr>
            <w:tcW w:type="dxa" w:w="3912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Live schema migration chain still needs manual validation.</w:t>
            </w:r>
          </w:p>
        </w:tc>
      </w:tr>
      <w:tr>
        <w:tc>
          <w:tcPr>
            <w:tcW w:type="dxa" w:w="1530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Marketplace</w:t>
            </w:r>
          </w:p>
        </w:tc>
        <w:tc>
          <w:tcPr>
            <w:tcW w:type="dxa" w:w="4025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Active service discovery, provider ownership checks, categories, favourites and availability.</w:t>
            </w:r>
          </w:p>
        </w:tc>
        <w:tc>
          <w:tcPr>
            <w:tcW w:type="dxa" w:w="3912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Image URL model exists; there is no upload endpoint in current API.</w:t>
            </w:r>
          </w:p>
        </w:tc>
      </w:tr>
      <w:tr>
        <w:tc>
          <w:tcPr>
            <w:tcW w:type="dxa" w:w="1530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Transactions</w:t>
            </w:r>
          </w:p>
        </w:tc>
        <w:tc>
          <w:tcPr>
            <w:tcW w:type="dxa" w:w="4025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Booking → decision → completion → review/payment flow plus notifications/messages.</w:t>
            </w:r>
          </w:p>
        </w:tc>
        <w:tc>
          <w:tcPr>
            <w:tcW w:type="dxa" w:w="3912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Payments are simulated; no gateway integration.</w:t>
            </w:r>
          </w:p>
        </w:tc>
      </w:tr>
      <w:tr>
        <w:tc>
          <w:tcPr>
            <w:tcW w:type="dxa" w:w="1530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AI</w:t>
            </w:r>
          </w:p>
        </w:tc>
        <w:tc>
          <w:tcPr>
            <w:tcW w:type="dxa" w:w="4025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Chat persistence, service recommendation, review summary and tool-based booking/availability/cancellation.</w:t>
            </w:r>
          </w:p>
        </w:tc>
        <w:tc>
          <w:tcPr>
            <w:tcW w:type="dxa" w:w="3912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Embeddings/vector search not wired into recommendations.</w:t>
            </w:r>
          </w:p>
        </w:tc>
      </w:tr>
      <w:tr>
        <w:tc>
          <w:tcPr>
            <w:tcW w:type="dxa" w:w="1530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Quality</w:t>
            </w:r>
          </w:p>
        </w:tc>
        <w:tc>
          <w:tcPr>
            <w:tcW w:type="dxa" w:w="4025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Backend/frontend test suites, smoke script, MCP protocol test and manual checklist.</w:t>
            </w:r>
          </w:p>
        </w:tc>
        <w:tc>
          <w:tcPr>
            <w:tcW w:type="dxa" w:w="3912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Messaging lacks automated pytest coverage; browser E2E runner is not configured.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5. Risks and response plan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185"/>
        <w:gridCol w:w="5185"/>
      </w:tblGrid>
      <w:tr>
        <w:trPr>
          <w:tblHeader w:val="true"/>
        </w:trPr>
        <w:tc>
          <w:tcPr>
            <w:tcW w:type="dxa" w:w="2891"/>
            <w:shd w:fill="173B5B"/>
            <w:vAlign w:val="center"/>
          </w:tcPr>
          <w:p>
            <w:r>
              <w:rPr>
                <w:b/>
                <w:color w:val="FFFFFF"/>
                <w:sz w:val="16"/>
              </w:rPr>
              <w:t>Risk</w:t>
            </w:r>
          </w:p>
        </w:tc>
        <w:tc>
          <w:tcPr>
            <w:tcW w:type="dxa" w:w="6577"/>
            <w:shd w:fill="173B5B"/>
            <w:vAlign w:val="center"/>
          </w:tcPr>
          <w:p>
            <w:r>
              <w:rPr>
                <w:b/>
                <w:color w:val="FFFFFF"/>
                <w:sz w:val="16"/>
              </w:rPr>
              <w:t>Response</w:t>
            </w:r>
          </w:p>
        </w:tc>
      </w:tr>
      <w:tr>
        <w:tc>
          <w:tcPr>
            <w:tcW w:type="dxa" w:w="289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Model/live schema divergence</w:t>
            </w:r>
          </w:p>
        </w:tc>
        <w:tc>
          <w:tcPr>
            <w:tcW w:type="dxa" w:w="657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Inspect live Supabase public schema after model changes; plan a corrective migration before release.</w:t>
            </w:r>
          </w:p>
        </w:tc>
      </w:tr>
      <w:tr>
        <w:tc>
          <w:tcPr>
            <w:tcW w:type="dxa" w:w="289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LLM non-determinism or outage</w:t>
            </w:r>
          </w:p>
        </w:tc>
        <w:tc>
          <w:tcPr>
            <w:tcW w:type="dxa" w:w="657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Keep backend-only key, database-backed context, bounded tool rounds and safe fallback response.</w:t>
            </w:r>
          </w:p>
        </w:tc>
      </w:tr>
      <w:tr>
        <w:tc>
          <w:tcPr>
            <w:tcW w:type="dxa" w:w="289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Accidental AI transaction</w:t>
            </w:r>
          </w:p>
        </w:tc>
        <w:tc>
          <w:tcPr>
            <w:tcW w:type="dxa" w:w="657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Require explicit service/date/time confirmation and execute validated booking service logic only through tools/endpoints.</w:t>
            </w:r>
          </w:p>
        </w:tc>
      </w:tr>
      <w:tr>
        <w:tc>
          <w:tcPr>
            <w:tcW w:type="dxa" w:w="289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Role/ownership regression</w:t>
            </w:r>
          </w:p>
        </w:tc>
        <w:tc>
          <w:tcPr>
            <w:tcW w:type="dxa" w:w="657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Run automated authorization tests and manually test cross-user scenarios.</w:t>
            </w:r>
          </w:p>
        </w:tc>
      </w:tr>
      <w:tr>
        <w:tc>
          <w:tcPr>
            <w:tcW w:type="dxa" w:w="289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Zoneless UI update regression</w:t>
            </w:r>
          </w:p>
        </w:tc>
        <w:tc>
          <w:tcPr>
            <w:tcW w:type="dxa" w:w="657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Check async UI updates in the manual checklist; use existing frontend test patterns.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879" w:right="935" w:bottom="822" w:left="9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66573"/>
        <w:sz w:val="16"/>
      </w:rPr>
      <w:t>Smart Hire | WBS | Version 2.0 | 21 July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E29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B5B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67CA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7C8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40"/>
      <w:contextualSpacing/>
    </w:pPr>
    <w:rPr>
      <w:rFonts w:asciiTheme="majorHAnsi" w:eastAsiaTheme="majorEastAsia" w:hAnsiTheme="majorHAnsi" w:cstheme="majorBidi" w:ascii="Aptos Display" w:hAnsi="Aptos Display"/>
      <w:b/>
      <w:color w:val="173B5B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ptos" w:hAnsi="Aptos"/>
      <w:b/>
      <w:bCs/>
      <w:i/>
      <w:color w:val="566573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