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/>
        <w:jc w:val="center"/>
      </w:pPr>
      <w:r>
        <w:rPr>
          <w:b/>
          <w:color w:val="007C83"/>
          <w:sz w:val="26"/>
        </w:rPr>
        <w:t>C-CLARKE INTERNATIONAL INSTITUTE</w:t>
        <w:br/>
        <w:t>OF DIGITAL SCIENCES</w:t>
      </w:r>
    </w:p>
    <w:p>
      <w:pPr>
        <w:spacing w:before="900"/>
        <w:jc w:val="center"/>
      </w:pPr>
      <w:r>
        <w:rPr>
          <w:b/>
          <w:color w:val="173B5B"/>
          <w:sz w:val="72"/>
        </w:rPr>
        <w:t>SMART HIRE</w:t>
      </w:r>
    </w:p>
    <w:p>
      <w:pPr>
        <w:spacing w:before="240"/>
        <w:jc w:val="center"/>
      </w:pPr>
      <w:r>
        <w:rPr>
          <w:b/>
          <w:color w:val="267CA8"/>
          <w:sz w:val="44"/>
        </w:rPr>
        <w:t>Software Testing Documentation</w:t>
      </w:r>
    </w:p>
    <w:p>
      <w:pPr>
        <w:spacing w:before="480"/>
        <w:jc w:val="center"/>
      </w:pPr>
      <w:r>
        <w:rPr>
          <w:i/>
          <w:color w:val="566573"/>
          <w:sz w:val="24"/>
        </w:rPr>
        <w:t>Evidence, test strategy and known coverage boundaries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EAF2F8"/>
          </w:tcPr>
          <w:p>
            <w:r>
              <w:rPr>
                <w:sz w:val="18"/>
              </w:rPr>
              <w:t>Programme</w:t>
            </w:r>
          </w:p>
        </w:tc>
        <w:tc>
          <w:tcPr>
            <w:tcW w:type="dxa" w:w="5185"/>
            <w:vAlign w:val="center"/>
          </w:tcPr>
          <w:p>
            <w:r>
              <w:rPr>
                <w:sz w:val="18"/>
              </w:rPr>
              <w:t>Diploma in Advanced AI &amp; Software Engineering</w:t>
            </w:r>
          </w:p>
        </w:tc>
      </w:tr>
      <w:tr>
        <w:tc>
          <w:tcPr>
            <w:tcW w:type="dxa" w:w="5185"/>
            <w:vAlign w:val="center"/>
            <w:shd w:fill="EAF2F8"/>
          </w:tcPr>
          <w:p>
            <w:r>
              <w:rPr>
                <w:sz w:val="18"/>
              </w:rPr>
              <w:t>Repository baseline</w:t>
            </w:r>
          </w:p>
        </w:tc>
        <w:tc>
          <w:tcPr>
            <w:tcW w:type="dxa" w:w="5185"/>
            <w:vAlign w:val="center"/>
          </w:tcPr>
          <w:p>
            <w:r>
              <w:rPr>
                <w:sz w:val="18"/>
              </w:rPr>
              <w:t>main at b653835</w:t>
            </w:r>
          </w:p>
        </w:tc>
      </w:tr>
      <w:tr>
        <w:tc>
          <w:tcPr>
            <w:tcW w:type="dxa" w:w="5185"/>
            <w:vAlign w:val="center"/>
            <w:shd w:fill="EAF2F8"/>
          </w:tcPr>
          <w:p>
            <w:r>
              <w:rPr>
                <w:sz w:val="18"/>
              </w:rPr>
              <w:t>Documentation baseline</w:t>
            </w:r>
          </w:p>
        </w:tc>
        <w:tc>
          <w:tcPr>
            <w:tcW w:type="dxa" w:w="5185"/>
            <w:vAlign w:val="center"/>
          </w:tcPr>
          <w:p>
            <w:r>
              <w:rPr>
                <w:sz w:val="18"/>
              </w:rPr>
              <w:t>Current FastAPI, Angular, models and QA artefacts</w:t>
            </w:r>
          </w:p>
        </w:tc>
      </w:tr>
      <w:tr>
        <w:tc>
          <w:tcPr>
            <w:tcW w:type="dxa" w:w="5185"/>
            <w:vAlign w:val="center"/>
            <w:shd w:fill="EAF2F8"/>
          </w:tcPr>
          <w:p>
            <w:r>
              <w:rPr>
                <w:sz w:val="18"/>
              </w:rPr>
              <w:t>Revision</w:t>
            </w:r>
          </w:p>
        </w:tc>
        <w:tc>
          <w:tcPr>
            <w:tcW w:type="dxa" w:w="5185"/>
            <w:vAlign w:val="center"/>
          </w:tcPr>
          <w:p>
            <w:r>
              <w:rPr>
                <w:sz w:val="18"/>
              </w:rPr>
              <w:t>21 July 2026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Test strategy</w:t>
      </w:r>
    </w:p>
    <w:p>
      <w:pPr>
        <w:spacing w:after="100"/>
      </w:pPr>
      <w:r>
        <w:rPr>
          <w:b w:val="0"/>
        </w:rPr>
        <w:t>Testing combines isolated backend/frontend automation with live integration and manual exploration. The aim is to validate role boundaries and business rules, then verify real cross-role behaviour in the running system.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Quality evidence layers identified in the QA artefacts.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871"/>
            <w:shd w:fill="173B5B"/>
            <w:vAlign w:val="center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4932"/>
            <w:shd w:fill="173B5B"/>
            <w:vAlign w:val="center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721"/>
            <w:shd w:fill="173B5B"/>
            <w:vAlign w:val="center"/>
          </w:tcPr>
          <w:p>
            <w:r>
              <w:rPr>
                <w:b/>
                <w:color w:val="FFFFFF"/>
                <w:sz w:val="16"/>
              </w:rPr>
              <w:t>Environment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Backend unit/integration</w:t>
            </w:r>
          </w:p>
        </w:tc>
        <w:tc>
          <w:tcPr>
            <w:tcW w:type="dxa" w:w="493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pytest tests under backend/app/tests/; QA records 24 automated checks.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Fresh in-memory SQLite.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Frontend component</w:t>
            </w:r>
          </w:p>
        </w:tc>
        <w:tc>
          <w:tcPr>
            <w:tcW w:type="dxa" w:w="493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19 co-located Angular spec files; QA records 24 checks.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Angular/Vitest with HttpTestingController.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Live smoke</w:t>
            </w:r>
          </w:p>
        </w:tc>
        <w:tc>
          <w:tcPr>
            <w:tcW w:type="dxa" w:w="493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qa/smoke_test.py follows register → service → booking → review → payment.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Running FastAPI and shared Supabase development database.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MCP protocol</w:t>
            </w:r>
          </w:p>
        </w:tc>
        <w:tc>
          <w:tcPr>
            <w:tcW w:type="dxa" w:w="493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qa/test_mcp_server.py spawns the server and uses a real MCP client handshake.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Local process and configured backend runtime.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Manual</w:t>
            </w:r>
          </w:p>
        </w:tc>
        <w:tc>
          <w:tcPr>
            <w:tcW w:type="dxa" w:w="493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qa/manual_test_checklist.md covers visual and cross-role journeys.</w:t>
            </w:r>
          </w:p>
        </w:tc>
        <w:tc>
          <w:tcPr>
            <w:tcW w:type="dxa" w:w="272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Running browser application.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2. Coverage by module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814"/>
            <w:shd w:fill="173B5B"/>
            <w:vAlign w:val="center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3855"/>
            <w:shd w:fill="173B5B"/>
            <w:vAlign w:val="center"/>
          </w:tcPr>
          <w:p>
            <w:r>
              <w:rPr>
                <w:b/>
                <w:color w:val="FFFFFF"/>
                <w:sz w:val="16"/>
              </w:rPr>
              <w:t>Automated evidence</w:t>
            </w:r>
          </w:p>
        </w:tc>
        <w:tc>
          <w:tcPr>
            <w:tcW w:type="dxa" w:w="3855"/>
            <w:shd w:fill="173B5B"/>
            <w:vAlign w:val="center"/>
          </w:tcPr>
          <w:p>
            <w:r>
              <w:rPr>
                <w:b/>
                <w:color w:val="FFFFFF"/>
                <w:sz w:val="16"/>
              </w:rPr>
              <w:t>Manual / live evidence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Authentication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Registration, login, password/role/JWT handling.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Form validation and role navigation.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Services &amp; profiles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CRUD, ownership, public filtering, favourites/areas and profile safety.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Listing/card/modal and provider workflow.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Reviews &amp; payments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Completed-booking condition, ownership, duplicate/rating/amount controls.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Pay-now user journey and visible totals.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Administration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Role gate, category/service status rules and metrics-related routes.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Dashboard/modals and moderation actions.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Bookings &amp; notifications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Covered within service/API tests and smoke workflow.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Lifecycle, notification navigation and availability.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AI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MCP protocol script; fallback/quality assessed manually.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Chat relevance, real listing references and explicit confirmation.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Messages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No current automated test.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Verified manually for send/reply/read and participant authorization.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High-value test scenarios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963"/>
            <w:shd w:fill="173B5B"/>
            <w:vAlign w:val="center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4082"/>
            <w:shd w:fill="173B5B"/>
            <w:vAlign w:val="center"/>
          </w:tcPr>
          <w:p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4422"/>
            <w:shd w:fill="173B5B"/>
            <w:vAlign w:val="center"/>
          </w:tcPr>
          <w:p>
            <w:r>
              <w:rPr>
                <w:b/>
                <w:color w:val="FFFFFF"/>
                <w:sz w:val="15"/>
              </w:rPr>
              <w:t>Expected result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AUTH-01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Register and login customer/provider.</w:t>
            </w:r>
          </w:p>
        </w:tc>
        <w:tc>
          <w:tcPr>
            <w:tcW w:type="dxa" w:w="44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Unique email; hash is never returned; JWT works.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SVC-01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Provider modifies own service; customer searches active service.</w:t>
            </w:r>
          </w:p>
        </w:tc>
        <w:tc>
          <w:tcPr>
            <w:tcW w:type="dxa" w:w="44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Ownership is enforced; paused/draft excluded from public search.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BOOK-01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Customer requests future service; provider accepts and completes.</w:t>
            </w:r>
          </w:p>
        </w:tc>
        <w:tc>
          <w:tcPr>
            <w:tcW w:type="dxa" w:w="44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Correct lifecycle/status notifications.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REV-01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Customer reviews a completed own booking.</w:t>
            </w:r>
          </w:p>
        </w:tc>
        <w:tc>
          <w:tcPr>
            <w:tcW w:type="dxa" w:w="44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One review per booking; 1–5 rating; provider rating recalculated.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PAY-01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Customer pays completed own booking.</w:t>
            </w:r>
          </w:p>
        </w:tc>
        <w:tc>
          <w:tcPr>
            <w:tcW w:type="dxa" w:w="44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Positive amount; no duplicate; simulated completed status/transaction id.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MSG-01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Booking participant sends a message.</w:t>
            </w:r>
          </w:p>
        </w:tc>
        <w:tc>
          <w:tcPr>
            <w:tcW w:type="dxa" w:w="44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Recipient notified; non-participant must receive 403.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AI-01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Customer confirms service/date/time in chat.</w:t>
            </w:r>
          </w:p>
        </w:tc>
        <w:tc>
          <w:tcPr>
            <w:tcW w:type="dxa" w:w="44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Tool invokes BookingService only after confirmation.</w:t>
            </w:r>
          </w:p>
        </w:tc>
      </w:tr>
      <w:tr>
        <w:tc>
          <w:tcPr>
            <w:tcW w:type="dxa" w:w="96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MCP-01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Client discovers/calls MCP server tools.</w:t>
            </w:r>
          </w:p>
        </w:tc>
        <w:tc>
          <w:tcPr>
            <w:tcW w:type="dxa" w:w="44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Real protocol handshake and safe failures for unknown records.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4. Execution, defects and known gaps</w:t>
      </w:r>
    </w:p>
    <w:p>
      <w:pPr>
        <w:pStyle w:val="Heading2"/>
        <w:keepNext/>
      </w:pPr>
      <w:r>
        <w:t>Recommended pre-demo sequence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567"/>
            <w:shd w:fill="173B5B"/>
            <w:vAlign w:val="center"/>
          </w:tcPr>
          <w:p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4252"/>
            <w:shd w:fill="173B5B"/>
            <w:vAlign w:val="center"/>
          </w:tcPr>
          <w:p>
            <w:r>
              <w:rPr>
                <w:b/>
                <w:color w:val="FFFFFF"/>
                <w:sz w:val="16"/>
              </w:rPr>
              <w:t>Command / activity</w:t>
            </w:r>
          </w:p>
        </w:tc>
        <w:tc>
          <w:tcPr>
            <w:tcW w:type="dxa" w:w="4649"/>
            <w:shd w:fill="173B5B"/>
            <w:vAlign w:val="cente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cd backend; python -m pytest app/tests/ -v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Run isolated backend suite.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2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cd frontend; npx ng test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Run Angular component suite.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3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python qa/smoke_test.py with backend running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Validate live core transaction journey and clean up test data.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4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python qa/test_mcp_server.py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Validate actual MCP protocol exposure.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Complete qa/manual_test_checklist.md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Check visual, cross-role and non-deterministic AI outcomes.</w:t>
            </w:r>
          </w:p>
        </w:tc>
      </w:tr>
    </w:tbl>
    <w:p>
      <w:pPr>
        <w:spacing w:after="40"/>
      </w:pP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118"/>
            <w:shd w:fill="173B5B"/>
            <w:vAlign w:val="center"/>
          </w:tcPr>
          <w:p>
            <w:r>
              <w:rPr>
                <w:b/>
                <w:color w:val="FFFFFF"/>
                <w:sz w:val="16"/>
              </w:rPr>
              <w:t>Known gap / risk</w:t>
            </w:r>
          </w:p>
        </w:tc>
        <w:tc>
          <w:tcPr>
            <w:tcW w:type="dxa" w:w="6350"/>
            <w:shd w:fill="173B5B"/>
            <w:vAlign w:val="center"/>
          </w:tcPr>
          <w:p>
            <w:r>
              <w:rPr>
                <w:b/>
                <w:color w:val="FFFFFF"/>
                <w:sz w:val="16"/>
              </w:rPr>
              <w:t>Management approach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Messages lack automated backend coverage.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Add a fixture-based participant/read/unread/403 test before release.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No browser E2E runner.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Use the manual checklist for integrated UI flow until an E2E runner is introduced.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AI answers are non-deterministic.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Validate factual grounding and tool guardrails, not exact wording.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Migration chain drift.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Inspect live public schema before schema-dependent testing; document any manual correction.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Shared dev database.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Use disposable data and clean up after smoke testing.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66573"/>
        <w:sz w:val="16"/>
      </w:rPr>
      <w:t>Smart Hire | Testing Documentation | Version 2.0 | 21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5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67C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7C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B5B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5665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