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360"/>
        <w:jc w:val="center"/>
      </w:pPr>
      <w:r>
        <w:rPr>
          <w:rFonts w:ascii="Times New Roman" w:cs="Times New Roman" w:eastAsia="Times New Roman" w:hAnsi="Times New Roman"/>
          <w:b/>
          <w:bCs/>
          <w:i w:val="false"/>
          <w:iCs w:val="false"/>
          <w:sz w:val="30"/>
          <w:szCs w:val="30"/>
        </w:rPr>
        <w:t xml:space="preserve">ContextOS: An Addressable Context Layer for Cross-Model Handoffs in AI Agents</w:t>
      </w:r>
    </w:p>
    <w:p>
      <w:pPr>
        <w:spacing w:after="300" w:before="0" w:line="360"/>
        <w:jc w:val="center"/>
      </w:pPr>
      <w:r>
        <w:rPr>
          <w:rFonts w:ascii="Times New Roman" w:cs="Times New Roman" w:eastAsia="Times New Roman" w:hAnsi="Times New Roman"/>
          <w:b/>
          <w:bCs/>
          <w:i w:val="false"/>
          <w:iCs w:val="false"/>
          <w:sz w:val="26"/>
          <w:szCs w:val="26"/>
        </w:rPr>
        <w:t xml:space="preserve">MINI PROJECT SYNOPSIS</w:t>
      </w:r>
    </w:p>
    <w:p>
      <w:pPr>
        <w:spacing w:after="60" w:before="0" w:line="360"/>
        <w:jc w:val="center"/>
      </w:pPr>
      <w:r>
        <w:rPr>
          <w:rFonts w:ascii="Times New Roman" w:cs="Times New Roman" w:eastAsia="Times New Roman" w:hAnsi="Times New Roman"/>
          <w:b w:val="false"/>
          <w:bCs w:val="false"/>
          <w:i w:val="false"/>
          <w:iCs w:val="false"/>
          <w:sz w:val="22"/>
          <w:szCs w:val="22"/>
        </w:rPr>
        <w:t xml:space="preserve">Submitted in partial fulfilment of the requirement for the award of the degree of</w:t>
      </w:r>
    </w:p>
    <w:p>
      <w:pPr>
        <w:spacing w:after="40" w:before="0" w:line="360"/>
        <w:jc w:val="center"/>
      </w:pPr>
      <w:r>
        <w:rPr>
          <w:rFonts w:ascii="Times New Roman" w:cs="Times New Roman" w:eastAsia="Times New Roman" w:hAnsi="Times New Roman"/>
          <w:b/>
          <w:bCs/>
          <w:i w:val="false"/>
          <w:iCs w:val="false"/>
          <w:sz w:val="26"/>
          <w:szCs w:val="26"/>
        </w:rPr>
        <w:t xml:space="preserve">Bachelor of Technology</w:t>
      </w:r>
    </w:p>
    <w:p>
      <w:pPr>
        <w:spacing w:after="40" w:before="0" w:line="360"/>
        <w:jc w:val="center"/>
      </w:pPr>
      <w:r>
        <w:rPr>
          <w:rFonts w:ascii="Times New Roman" w:cs="Times New Roman" w:eastAsia="Times New Roman" w:hAnsi="Times New Roman"/>
          <w:b w:val="false"/>
          <w:bCs w:val="false"/>
          <w:i w:val="false"/>
          <w:iCs w:val="false"/>
          <w:sz w:val="22"/>
          <w:szCs w:val="22"/>
        </w:rPr>
        <w:t xml:space="preserve">in</w:t>
      </w:r>
    </w:p>
    <w:p>
      <w:pPr>
        <w:spacing w:after="200" w:before="0" w:line="360"/>
        <w:jc w:val="center"/>
      </w:pPr>
      <w:r>
        <w:rPr>
          <w:rFonts w:ascii="Times New Roman" w:cs="Times New Roman" w:eastAsia="Times New Roman" w:hAnsi="Times New Roman"/>
          <w:b/>
          <w:bCs/>
          <w:i w:val="false"/>
          <w:iCs w:val="false"/>
          <w:sz w:val="26"/>
          <w:szCs w:val="26"/>
        </w:rPr>
        <w:t xml:space="preserve">Computer Science &amp; Engineering – AIML</w:t>
      </w:r>
    </w:p>
    <w:p>
      <w:pPr>
        <w:spacing w:after="60" w:before="0" w:line="360"/>
        <w:jc w:val="center"/>
      </w:pPr>
      <w:r>
        <w:rPr>
          <w:rFonts w:ascii="Times New Roman" w:cs="Times New Roman" w:eastAsia="Times New Roman" w:hAnsi="Times New Roman"/>
          <w:b w:val="false"/>
          <w:bCs w:val="false"/>
          <w:i w:val="false"/>
          <w:iCs w:val="false"/>
          <w:sz w:val="22"/>
          <w:szCs w:val="22"/>
        </w:rPr>
        <w:t xml:space="preserve">Submitted to</w:t>
      </w:r>
    </w:p>
    <w:p>
      <w:pPr>
        <w:spacing w:after="320" w:before="0" w:line="360"/>
        <w:jc w:val="center"/>
      </w:pPr>
      <w:r>
        <w:rPr>
          <w:rFonts w:ascii="Times New Roman" w:cs="Times New Roman" w:eastAsia="Times New Roman" w:hAnsi="Times New Roman"/>
          <w:b/>
          <w:bCs/>
          <w:i w:val="false"/>
          <w:iCs w:val="false"/>
          <w:sz w:val="26"/>
          <w:szCs w:val="26"/>
        </w:rPr>
        <w:t xml:space="preserve">DR. A.P.J. ABDUL KALAM TECHNICAL UNIVERSITY, UTTAR PRADESH, LUCKNOW</w:t>
      </w:r>
    </w:p>
    <w:tbl>
      <w:tblPr>
        <w:tblW w:type="dxa" w:w="9780"/>
        <w:tblBorders>
          <w:top w:val="none"/>
          <w:left w:val="none"/>
          <w:bottom w:val="none"/>
          <w:right w:val="none"/>
          <w:insideH w:val="none"/>
          <w:insideV w:val="none"/>
        </w:tblBorders>
      </w:tblPr>
      <w:tblGrid>
        <w:gridCol w:w="4890"/>
        <w:gridCol w:w="4890"/>
      </w:tblGrid>
      <w:tr>
        <w:tc>
          <w:tcPr>
            <w:tcW w:type="dxa" w:w="4890"/>
          </w:tcPr>
          <w:p>
            <w:pPr>
              <w:spacing w:after="60" w:before="0" w:line="360"/>
              <w:jc w:val="left"/>
            </w:pPr>
            <w:r>
              <w:rPr>
                <w:rFonts w:ascii="Times New Roman" w:cs="Times New Roman" w:eastAsia="Times New Roman" w:hAnsi="Times New Roman"/>
                <w:b/>
                <w:bCs/>
                <w:i w:val="false"/>
                <w:iCs w:val="false"/>
                <w:sz w:val="22"/>
                <w:szCs w:val="22"/>
              </w:rPr>
              <w:t xml:space="preserve">Submitted by</w:t>
            </w:r>
          </w:p>
          <w:p>
            <w:pPr>
              <w:spacing w:after="40" w:before="0" w:line="360"/>
              <w:jc w:val="left"/>
            </w:pPr>
            <w:r>
              <w:rPr>
                <w:rFonts w:ascii="Times New Roman" w:cs="Times New Roman" w:eastAsia="Times New Roman" w:hAnsi="Times New Roman"/>
                <w:b w:val="false"/>
                <w:bCs w:val="false"/>
                <w:i w:val="false"/>
                <w:iCs w:val="false"/>
                <w:sz w:val="22"/>
                <w:szCs w:val="22"/>
              </w:rPr>
              <w:t xml:space="preserve">Student Name: Nilansh Pratap Anand</w:t>
            </w:r>
          </w:p>
          <w:p>
            <w:pPr>
              <w:spacing w:after="40" w:before="0" w:line="360"/>
              <w:jc w:val="left"/>
            </w:pPr>
            <w:r>
              <w:rPr>
                <w:rFonts w:ascii="Times New Roman" w:cs="Times New Roman" w:eastAsia="Times New Roman" w:hAnsi="Times New Roman"/>
                <w:b w:val="false"/>
                <w:bCs w:val="false"/>
                <w:i w:val="false"/>
                <w:iCs w:val="false"/>
                <w:sz w:val="22"/>
                <w:szCs w:val="22"/>
              </w:rPr>
              <w:t xml:space="preserve">Roll No.: ____________________</w:t>
            </w:r>
          </w:p>
          <w:p>
            <w:pPr>
              <w:spacing w:after="0" w:before="0" w:line="360"/>
              <w:jc w:val="left"/>
            </w:pPr>
            <w:r>
              <w:rPr>
                <w:rFonts w:ascii="Times New Roman" w:cs="Times New Roman" w:eastAsia="Times New Roman" w:hAnsi="Times New Roman"/>
                <w:b w:val="false"/>
                <w:bCs w:val="false"/>
                <w:i w:val="false"/>
                <w:iCs w:val="false"/>
                <w:sz w:val="22"/>
                <w:szCs w:val="22"/>
              </w:rPr>
              <w:t xml:space="preserve">Semester / Year: ____________</w:t>
            </w:r>
          </w:p>
        </w:tc>
        <w:tc>
          <w:tcPr>
            <w:tcW w:type="dxa" w:w="4890"/>
          </w:tcPr>
          <w:p>
            <w:pPr>
              <w:spacing w:after="60" w:before="0" w:line="360"/>
              <w:jc w:val="left"/>
            </w:pPr>
            <w:r>
              <w:rPr>
                <w:rFonts w:ascii="Times New Roman" w:cs="Times New Roman" w:eastAsia="Times New Roman" w:hAnsi="Times New Roman"/>
                <w:b/>
                <w:bCs/>
                <w:i w:val="false"/>
                <w:iCs w:val="false"/>
                <w:sz w:val="22"/>
                <w:szCs w:val="22"/>
              </w:rPr>
              <w:t xml:space="preserve">Under the Supervision of</w:t>
            </w:r>
          </w:p>
          <w:p>
            <w:pPr>
              <w:spacing w:after="40" w:before="0" w:line="360"/>
              <w:jc w:val="left"/>
            </w:pPr>
            <w:r>
              <w:rPr>
                <w:rFonts w:ascii="Times New Roman" w:cs="Times New Roman" w:eastAsia="Times New Roman" w:hAnsi="Times New Roman"/>
                <w:b w:val="false"/>
                <w:bCs w:val="false"/>
                <w:i w:val="false"/>
                <w:iCs w:val="false"/>
                <w:sz w:val="22"/>
                <w:szCs w:val="22"/>
              </w:rPr>
              <w:t xml:space="preserve">Guide Name: ____________________</w:t>
            </w:r>
          </w:p>
          <w:p>
            <w:pPr>
              <w:spacing w:after="40" w:before="0" w:line="360"/>
              <w:jc w:val="left"/>
            </w:pPr>
            <w:r>
              <w:rPr>
                <w:rFonts w:ascii="Times New Roman" w:cs="Times New Roman" w:eastAsia="Times New Roman" w:hAnsi="Times New Roman"/>
                <w:b w:val="false"/>
                <w:bCs w:val="false"/>
                <w:i w:val="false"/>
                <w:iCs w:val="false"/>
                <w:sz w:val="22"/>
                <w:szCs w:val="22"/>
              </w:rPr>
              <w:t xml:space="preserve">Assistant Professor</w:t>
            </w:r>
          </w:p>
          <w:p>
            <w:pPr>
              <w:spacing w:after="0" w:before="0" w:line="360"/>
              <w:jc w:val="left"/>
            </w:pPr>
            <w:r>
              <w:rPr>
                <w:rFonts w:ascii="Times New Roman" w:cs="Times New Roman" w:eastAsia="Times New Roman" w:hAnsi="Times New Roman"/>
                <w:b w:val="false"/>
                <w:bCs w:val="false"/>
                <w:i w:val="false"/>
                <w:iCs w:val="false"/>
                <w:sz w:val="22"/>
                <w:szCs w:val="22"/>
              </w:rPr>
              <w:t xml:space="preserve">Department of CSE</w:t>
            </w:r>
          </w:p>
        </w:tc>
      </w:tr>
    </w:tbl>
    <w:p>
      <w:pPr>
        <w:spacing w:after="300" w:before="0" w:line="360"/>
        <w:jc w:val="both"/>
      </w:pPr>
      <w:r>
        <w:rPr>
          <w:rFonts w:ascii="Times New Roman" w:cs="Times New Roman" w:eastAsia="Times New Roman" w:hAnsi="Times New Roman"/>
          <w:b w:val="false"/>
          <w:bCs w:val="false"/>
          <w:i w:val="false"/>
          <w:iCs w:val="false"/>
          <w:sz w:val="22"/>
          <w:szCs w:val="22"/>
        </w:rPr>
        <w:t xml:space="preserve"/>
      </w:r>
    </w:p>
    <w:p>
      <w:pPr>
        <w:spacing w:after="60" w:before="0" w:line="360"/>
        <w:jc w:val="center"/>
      </w:pPr>
      <w:r>
        <w:rPr>
          <w:rFonts w:ascii="Times New Roman" w:cs="Times New Roman" w:eastAsia="Times New Roman" w:hAnsi="Times New Roman"/>
          <w:b/>
          <w:bCs/>
          <w:i w:val="false"/>
          <w:iCs w:val="false"/>
          <w:sz w:val="26"/>
          <w:szCs w:val="26"/>
        </w:rPr>
        <w:t xml:space="preserve">Department of Computer Science &amp; Engineering</w:t>
      </w:r>
    </w:p>
    <w:p>
      <w:pPr>
        <w:spacing w:after="60" w:before="0" w:line="360"/>
        <w:jc w:val="center"/>
      </w:pPr>
      <w:r>
        <w:rPr>
          <w:rFonts w:ascii="Times New Roman" w:cs="Times New Roman" w:eastAsia="Times New Roman" w:hAnsi="Times New Roman"/>
          <w:b/>
          <w:bCs/>
          <w:i w:val="false"/>
          <w:iCs w:val="false"/>
          <w:sz w:val="26"/>
          <w:szCs w:val="26"/>
        </w:rPr>
        <w:t xml:space="preserve">Lloyd Institute of Engineering &amp; Technology</w:t>
      </w:r>
    </w:p>
    <w:p>
      <w:pPr>
        <w:spacing w:after="60" w:before="0" w:line="360"/>
        <w:jc w:val="center"/>
      </w:pPr>
      <w:r>
        <w:rPr>
          <w:rFonts w:ascii="Times New Roman" w:cs="Times New Roman" w:eastAsia="Times New Roman" w:hAnsi="Times New Roman"/>
          <w:b w:val="false"/>
          <w:bCs w:val="false"/>
          <w:i w:val="false"/>
          <w:iCs w:val="false"/>
          <w:sz w:val="22"/>
          <w:szCs w:val="22"/>
        </w:rPr>
        <w:t xml:space="preserve">Plot No. 3, Knowledge Park II, Greater Noida, Uttar Pradesh 201306</w:t>
      </w:r>
    </w:p>
    <w:p>
      <w:pPr>
        <w:spacing w:after="0" w:before="0" w:line="360"/>
        <w:jc w:val="center"/>
      </w:pPr>
      <w:r>
        <w:rPr>
          <w:rFonts w:ascii="Times New Roman" w:cs="Times New Roman" w:eastAsia="Times New Roman" w:hAnsi="Times New Roman"/>
          <w:b/>
          <w:bCs/>
          <w:i w:val="false"/>
          <w:iCs w:val="false"/>
          <w:sz w:val="22"/>
          <w:szCs w:val="22"/>
        </w:rPr>
        <w:t xml:space="preserve">Session: 2026–27</w:t>
      </w:r>
    </w:p>
    <w:p>
      <w:r>
        <w:br w:type="page"/>
      </w:r>
    </w:p>
    <w:p>
      <w:pPr>
        <w:spacing w:after="200" w:before="0" w:line="360"/>
        <w:jc w:val="center"/>
      </w:pPr>
      <w:r>
        <w:rPr>
          <w:rFonts w:ascii="Times New Roman" w:cs="Times New Roman" w:eastAsia="Times New Roman" w:hAnsi="Times New Roman"/>
          <w:b/>
          <w:bCs/>
          <w:i w:val="false"/>
          <w:iCs w:val="false"/>
          <w:sz w:val="30"/>
          <w:szCs w:val="30"/>
        </w:rPr>
        <w:t xml:space="preserve">INDEX</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200"/>
        <w:gridCol w:w="6580"/>
        <w:gridCol w:w="2000"/>
      </w:tblGrid>
      <w:tr>
        <w:trPr>
          <w:tblHeader/>
        </w:trPr>
        <w:tc>
          <w:tcPr>
            <w:tcW w:type="dxa" w:w="120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Sr. No.</w:t>
            </w:r>
          </w:p>
        </w:tc>
        <w:tc>
          <w:tcPr>
            <w:tcW w:type="dxa" w:w="6580"/>
            <w:shd w:fill="D9D9D9"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Topic</w:t>
            </w:r>
          </w:p>
        </w:tc>
        <w:tc>
          <w:tcPr>
            <w:tcW w:type="dxa" w:w="200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Page No.</w:t>
            </w:r>
          </w:p>
        </w:tc>
      </w:tr>
      <w:tr>
        <w:trPr>
          <w:tblHeader w:val="false"/>
        </w:trPr>
        <w:tc>
          <w:tcPr>
            <w:tcW w:type="dxa" w:w="1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01</w:t>
            </w:r>
          </w:p>
        </w:tc>
        <w:tc>
          <w:tcPr>
            <w:tcW w:type="dxa" w:w="65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Introduction</w:t>
            </w:r>
          </w:p>
        </w:tc>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3 – 4</w:t>
            </w:r>
          </w:p>
        </w:tc>
      </w:tr>
      <w:tr>
        <w:trPr>
          <w:tblHeader w:val="false"/>
        </w:trPr>
        <w:tc>
          <w:tcPr>
            <w:tcW w:type="dxa" w:w="1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02</w:t>
            </w:r>
          </w:p>
        </w:tc>
        <w:tc>
          <w:tcPr>
            <w:tcW w:type="dxa" w:w="65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Statement of Problem with Objectives</w:t>
            </w:r>
          </w:p>
        </w:tc>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5</w:t>
            </w:r>
          </w:p>
        </w:tc>
      </w:tr>
      <w:tr>
        <w:trPr>
          <w:tblHeader w:val="false"/>
        </w:trPr>
        <w:tc>
          <w:tcPr>
            <w:tcW w:type="dxa" w:w="1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03</w:t>
            </w:r>
          </w:p>
        </w:tc>
        <w:tc>
          <w:tcPr>
            <w:tcW w:type="dxa" w:w="65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Literature Survey</w:t>
            </w:r>
          </w:p>
        </w:tc>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6</w:t>
            </w:r>
          </w:p>
        </w:tc>
      </w:tr>
      <w:tr>
        <w:trPr>
          <w:tblHeader w:val="false"/>
        </w:trPr>
        <w:tc>
          <w:tcPr>
            <w:tcW w:type="dxa" w:w="1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04</w:t>
            </w:r>
          </w:p>
        </w:tc>
        <w:tc>
          <w:tcPr>
            <w:tcW w:type="dxa" w:w="65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Expected Outcome / Scope of the Project</w:t>
            </w:r>
          </w:p>
        </w:tc>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7</w:t>
            </w:r>
          </w:p>
        </w:tc>
      </w:tr>
      <w:tr>
        <w:trPr>
          <w:tblHeader w:val="false"/>
        </w:trPr>
        <w:tc>
          <w:tcPr>
            <w:tcW w:type="dxa" w:w="1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05</w:t>
            </w:r>
          </w:p>
        </w:tc>
        <w:tc>
          <w:tcPr>
            <w:tcW w:type="dxa" w:w="65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Tentative Work Plan</w:t>
            </w:r>
          </w:p>
        </w:tc>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8</w:t>
            </w:r>
          </w:p>
        </w:tc>
      </w:tr>
      <w:tr>
        <w:trPr>
          <w:tblHeader w:val="false"/>
        </w:trPr>
        <w:tc>
          <w:tcPr>
            <w:tcW w:type="dxa" w:w="1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06</w:t>
            </w:r>
          </w:p>
        </w:tc>
        <w:tc>
          <w:tcPr>
            <w:tcW w:type="dxa" w:w="65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Software / Hardware Required for the Development of the Project</w:t>
            </w:r>
          </w:p>
        </w:tc>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9</w:t>
            </w:r>
          </w:p>
        </w:tc>
      </w:tr>
      <w:tr>
        <w:trPr>
          <w:tblHeader w:val="false"/>
        </w:trPr>
        <w:tc>
          <w:tcPr>
            <w:tcW w:type="dxa" w:w="1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07</w:t>
            </w:r>
          </w:p>
        </w:tc>
        <w:tc>
          <w:tcPr>
            <w:tcW w:type="dxa" w:w="65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References</w:t>
            </w:r>
          </w:p>
        </w:tc>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10</w:t>
            </w:r>
          </w:p>
        </w:tc>
      </w:tr>
    </w:tbl>
    <w:p>
      <w:pPr>
        <w:spacing w:after="600" w:before="0" w:line="360"/>
        <w:jc w:val="both"/>
      </w:pPr>
      <w:r>
        <w:rPr>
          <w:rFonts w:ascii="Times New Roman" w:cs="Times New Roman" w:eastAsia="Times New Roman" w:hAnsi="Times New Roman"/>
          <w:b w:val="false"/>
          <w:bCs w:val="false"/>
          <w:i w:val="false"/>
          <w:iCs w:val="false"/>
          <w:sz w:val="22"/>
          <w:szCs w:val="22"/>
        </w:rPr>
        <w:t xml:space="preserve"/>
      </w:r>
    </w:p>
    <w:p>
      <w:pPr>
        <w:spacing w:before="600" w:line="360"/>
        <w:jc w:val="left"/>
      </w:pPr>
      <w:r>
        <w:rPr>
          <w:rFonts w:ascii="Times New Roman" w:cs="Times New Roman" w:eastAsia="Times New Roman" w:hAnsi="Times New Roman"/>
          <w:sz w:val="22"/>
          <w:szCs w:val="22"/>
        </w:rPr>
        <w:t xml:space="preserve">Student’s Signature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Guide’s Signature</w:t>
      </w:r>
    </w:p>
    <w:p>
      <w:pPr>
        <w:pStyle w:val="Heading1"/>
        <w:pageBreakBefore/>
        <w:spacing w:after="160" w:before="0" w:line="360"/>
      </w:pPr>
      <w:r>
        <w:rPr>
          <w:rFonts w:ascii="Times New Roman" w:cs="Times New Roman" w:eastAsia="Times New Roman" w:hAnsi="Times New Roman"/>
          <w:b/>
          <w:bCs/>
          <w:sz w:val="30"/>
          <w:szCs w:val="30"/>
        </w:rPr>
        <w:t xml:space="preserve">1. Introduction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Large Language Model (LLM) agents are software systems that use a language model to carry out multi-step tasks: reading files, calling tools, writing code, and revising their own plans as work proceeds. Every such model reads and writes text as tokens, and every model can hold only a bounded number of tokens at once. That bound is called the context window. For a short question the window is generous; for a task that runs for fifty or a hundred steps, it is not. The conversation grows, the window fills, and the system must decide what to keep.</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usual answer is to resend the entire conversation on every turn. This is simple, but it is expensive and it degrades: as irrelevant history accumulates, the proportion of the window occupied by material relevant to the current step falls, and answer quality falls with it. This effect is widely described in recent practitioner literature as context degradation, or informally as “context rot”.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A second, sharper problem appears the moment the model itself has to change. A model may become unavailable, may exhaust a free-tier quota, may become too expensive for a routine step, or may simply be the wrong size for the work at hand — a difficult sub-problem may deserve a stronger model, while a mechanical one does not. In every one of those cases the task is still valid; only the model needs to change. Today, however, the state of the task lives inside that model’s conversation. When the model changes, the work effectively restarts: decisions already taken are re-litigated, constraints already agreed are forgotten, and the user must repeat context they have already supplied.</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This project proposes and implements ContextOS, a context layer that sits outside the model. Its central claim is a simple inversion of current practice:</w:t>
      </w:r>
    </w:p>
    <w:p>
      <w:pPr>
        <w:spacing w:after="120" w:before="0" w:line="360"/>
        <w:ind w:left="480" w:right="480"/>
        <w:jc w:val="both"/>
      </w:pPr>
      <w:r>
        <w:rPr>
          <w:rFonts w:ascii="Times New Roman" w:cs="Times New Roman" w:eastAsia="Times New Roman" w:hAnsi="Times New Roman"/>
          <w:b w:val="false"/>
          <w:bCs w:val="false"/>
          <w:i/>
          <w:iCs/>
          <w:sz w:val="22"/>
          <w:szCs w:val="22"/>
        </w:rPr>
        <w:t xml:space="preserve">The language model should not own the task’s context. The application should own it. The model then becomes replaceable, while the context persists.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In ContextOS, every durable piece of a task — the goal, a constraint, a decision and its rationale, an open blocker, a file produced, a tool result — is stored as a unit at a hierarchical address, much like a path in a filesystem. Examples are /task/goal, /project/decisions/database and /task/blockers/redis-acl. Because each unit is separately addressable, the system can retrieve exactly the units a step requires instead of replaying the whole conversation. When the task moves to a different model, ContextOS assembles a handoff packet: a compact, neutrally formatted brief containing the state the next model provably needs, together with an explicit list of what was deliberately left out and how to fetch it.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A finding from recent empirical work shapes the design directly, and is discussed in Section 3. Transferring the previous model’s full conversation is not merely wasteful; measured over tens of thousands of agent runs it is the worst-performing option when moving to a stronger model. Discarding the narrative while preserving the durable work products performs substantially better. ContextOS is built to make that strategy usable for state which is not a file — a constraint such as “no new runtime dependencies” is not stored on disk, yet losing it silently corrupts the remaining work.</w:t>
      </w:r>
    </w:p>
    <w:p>
      <w:pPr>
        <w:pStyle w:val="Heading2"/>
        <w:spacing w:after="120" w:before="200" w:line="360"/>
      </w:pPr>
      <w:r>
        <w:rPr>
          <w:rFonts w:ascii="Times New Roman" w:cs="Times New Roman" w:eastAsia="Times New Roman" w:hAnsi="Times New Roman"/>
          <w:b/>
          <w:bCs/>
          <w:sz w:val="26"/>
          <w:szCs w:val="26"/>
        </w:rPr>
        <w:t xml:space="preserve">Technology Used</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system is implemented in Python 3.9+ using only the standard library, so that it installs and runs without external dependencies. Persistence uses SQLite, with its FTS5 full-text extension providing BM25 keyword ranking. Retrieval combines several independent rankers using Reciprocal Rank Fusion. The project exposes itself to other tools through the Model Context Protocol (specification 2026-07-28) over a stdio JSON-RPC transport, and provides a browser-based dashboard served by the standard library HTTP server. Cross-model evaluation calls provider REST APIs (Google Gemini, Groq, Cerebras, Mistral, Together AI) over HTTPS.</w:t>
      </w:r>
    </w:p>
    <w:p>
      <w:pPr>
        <w:pStyle w:val="Heading2"/>
        <w:spacing w:after="120" w:before="200" w:line="360"/>
      </w:pPr>
      <w:r>
        <w:rPr>
          <w:rFonts w:ascii="Times New Roman" w:cs="Times New Roman" w:eastAsia="Times New Roman" w:hAnsi="Times New Roman"/>
          <w:b/>
          <w:bCs/>
          <w:sz w:val="26"/>
          <w:szCs w:val="26"/>
        </w:rPr>
        <w:t xml:space="preserve">Project Domain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project belongs to the domain of AI agent infrastructure, specifically the sub-area now referred to as context engineering: the discipline of deciding what information an language model should receive for a given step, and in what form. It sits below applications and above model providers, and is intentionally provider-neutral.</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Context is organised as a tree. Every unit sits at a leaf, and the root it hangs from also decides how long it lives, as shown in Figure 1.1.</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9780"/>
      </w:tblGrid>
      <w:tr>
        <w:tc>
          <w:tcPr>
            <w:tcW w:type="dxa" w:w="9780"/>
            <w:tcMar>
              <w:top w:type="dxa" w:w="120"/>
              <w:left w:type="dxa" w:w="160"/>
              <w:bottom w:type="dxa" w:w="120"/>
              <w:right w:type="dxa" w:w="160"/>
            </w:tcMar>
          </w:tcPr>
          <w:p>
            <w:pPr>
              <w:keepNext/>
              <w:keepLines/>
              <w:spacing w:after="0" w:before="0" w:line="180"/>
              <w:jc w:val="left"/>
            </w:pPr>
            <w:r>
              <w:rPr>
                <w:rFonts w:ascii="Courier New" w:cs="Courier New" w:eastAsia="Courier New" w:hAnsi="Courier New"/>
                <w:sz w:val="17"/>
                <w:szCs w:val="17"/>
              </w:rPr>
              <w:t xml:space="preserve">/   (context root)                            LIFETIME</w:t>
            </w:r>
          </w:p>
          <w:p>
            <w:pPr>
              <w:keepNext/>
              <w:keepLines/>
              <w:spacing w:after="0" w:before="0" w:line="180"/>
              <w:jc w:val="left"/>
            </w:pPr>
            <w:r>
              <w:rPr>
                <w:rFonts w:ascii="Courier New" w:cs="Courier New" w:eastAsia="Courier New" w:hAnsi="Courier New"/>
                <w:sz w:val="17"/>
                <w:szCs w:val="17"/>
              </w:rPr>
              <w:t xml:space="preserve">│</w:t>
            </w:r>
          </w:p>
          <w:p>
            <w:pPr>
              <w:keepNext/>
              <w:keepLines/>
              <w:spacing w:after="0" w:before="0" w:line="180"/>
              <w:jc w:val="left"/>
            </w:pPr>
            <w:r>
              <w:rPr>
                <w:rFonts w:ascii="Courier New" w:cs="Courier New" w:eastAsia="Courier New" w:hAnsi="Courier New"/>
                <w:sz w:val="17"/>
                <w:szCs w:val="17"/>
              </w:rPr>
              <w:t xml:space="preserve">├── user/                                     PERMANENT</w:t>
            </w:r>
          </w:p>
          <w:p>
            <w:pPr>
              <w:keepNext/>
              <w:keepLines/>
              <w:spacing w:after="0" w:before="0" w:line="180"/>
              <w:jc w:val="left"/>
            </w:pPr>
            <w:r>
              <w:rPr>
                <w:rFonts w:ascii="Courier New" w:cs="Courier New" w:eastAsia="Courier New" w:hAnsi="Courier New"/>
                <w:sz w:val="17"/>
                <w:szCs w:val="17"/>
              </w:rPr>
              <w:t xml:space="preserve">│   └── preferences/style</w:t>
            </w:r>
          </w:p>
          <w:p>
            <w:pPr>
              <w:keepNext/>
              <w:keepLines/>
              <w:spacing w:after="0" w:before="0" w:line="180"/>
              <w:jc w:val="left"/>
            </w:pPr>
            <w:r>
              <w:rPr>
                <w:rFonts w:ascii="Courier New" w:cs="Courier New" w:eastAsia="Courier New" w:hAnsi="Courier New"/>
                <w:sz w:val="17"/>
                <w:szCs w:val="17"/>
              </w:rPr>
              <w:t xml:space="preserve">├── project/                                  PERMANENT</w:t>
            </w:r>
          </w:p>
          <w:p>
            <w:pPr>
              <w:keepNext/>
              <w:keepLines/>
              <w:spacing w:after="0" w:before="0" w:line="180"/>
              <w:jc w:val="left"/>
            </w:pPr>
            <w:r>
              <w:rPr>
                <w:rFonts w:ascii="Courier New" w:cs="Courier New" w:eastAsia="Courier New" w:hAnsi="Courier New"/>
                <w:sz w:val="17"/>
                <w:szCs w:val="17"/>
              </w:rPr>
              <w:t xml:space="preserve">│   ├── architecture/auth-current</w:t>
            </w:r>
          </w:p>
          <w:p>
            <w:pPr>
              <w:keepNext/>
              <w:keepLines/>
              <w:spacing w:after="0" w:before="0" w:line="180"/>
              <w:jc w:val="left"/>
            </w:pPr>
            <w:r>
              <w:rPr>
                <w:rFonts w:ascii="Courier New" w:cs="Courier New" w:eastAsia="Courier New" w:hAnsi="Courier New"/>
                <w:sz w:val="17"/>
                <w:szCs w:val="17"/>
              </w:rPr>
              <w:t xml:space="preserve">│   ├── decisions/oauth-lib</w:t>
            </w:r>
          </w:p>
          <w:p>
            <w:pPr>
              <w:keepNext/>
              <w:keepLines/>
              <w:spacing w:after="0" w:before="0" w:line="180"/>
              <w:jc w:val="left"/>
            </w:pPr>
            <w:r>
              <w:rPr>
                <w:rFonts w:ascii="Courier New" w:cs="Courier New" w:eastAsia="Courier New" w:hAnsi="Courier New"/>
                <w:sz w:val="17"/>
                <w:szCs w:val="17"/>
              </w:rPr>
              <w:t xml:space="preserve">│   └── constraints/no-new-deps</w:t>
            </w:r>
          </w:p>
          <w:p>
            <w:pPr>
              <w:keepNext/>
              <w:keepLines/>
              <w:spacing w:after="0" w:before="0" w:line="180"/>
              <w:jc w:val="left"/>
            </w:pPr>
            <w:r>
              <w:rPr>
                <w:rFonts w:ascii="Courier New" w:cs="Courier New" w:eastAsia="Courier New" w:hAnsi="Courier New"/>
                <w:sz w:val="17"/>
                <w:szCs w:val="17"/>
              </w:rPr>
              <w:t xml:space="preserve">├── task/                                     TASK-SCOPED</w:t>
            </w:r>
          </w:p>
          <w:p>
            <w:pPr>
              <w:keepNext/>
              <w:keepLines/>
              <w:spacing w:after="0" w:before="0" w:line="180"/>
              <w:jc w:val="left"/>
            </w:pPr>
            <w:r>
              <w:rPr>
                <w:rFonts w:ascii="Courier New" w:cs="Courier New" w:eastAsia="Courier New" w:hAnsi="Courier New"/>
                <w:sz w:val="17"/>
                <w:szCs w:val="17"/>
              </w:rPr>
              <w:t xml:space="preserve">│   ├── goal</w:t>
            </w:r>
          </w:p>
          <w:p>
            <w:pPr>
              <w:keepNext/>
              <w:keepLines/>
              <w:spacing w:after="0" w:before="0" w:line="180"/>
              <w:jc w:val="left"/>
            </w:pPr>
            <w:r>
              <w:rPr>
                <w:rFonts w:ascii="Courier New" w:cs="Courier New" w:eastAsia="Courier New" w:hAnsi="Courier New"/>
                <w:sz w:val="17"/>
                <w:szCs w:val="17"/>
              </w:rPr>
              <w:t xml:space="preserve">│   ├── progress</w:t>
            </w:r>
          </w:p>
          <w:p>
            <w:pPr>
              <w:keepNext/>
              <w:keepLines/>
              <w:spacing w:after="0" w:before="0" w:line="180"/>
              <w:jc w:val="left"/>
            </w:pPr>
            <w:r>
              <w:rPr>
                <w:rFonts w:ascii="Courier New" w:cs="Courier New" w:eastAsia="Courier New" w:hAnsi="Courier New"/>
                <w:sz w:val="17"/>
                <w:szCs w:val="17"/>
              </w:rPr>
              <w:t xml:space="preserve">│   └── blockers/redis-acl</w:t>
            </w:r>
          </w:p>
          <w:p>
            <w:pPr>
              <w:keepNext/>
              <w:keepLines/>
              <w:spacing w:after="0" w:before="0" w:line="180"/>
              <w:jc w:val="left"/>
            </w:pPr>
            <w:r>
              <w:rPr>
                <w:rFonts w:ascii="Courier New" w:cs="Courier New" w:eastAsia="Courier New" w:hAnsi="Courier New"/>
                <w:sz w:val="17"/>
                <w:szCs w:val="17"/>
              </w:rPr>
              <w:t xml:space="preserve">├── agent/                                    TASK-SCOPED</w:t>
            </w:r>
          </w:p>
          <w:p>
            <w:pPr>
              <w:keepNext/>
              <w:keepLines/>
              <w:spacing w:after="0" w:before="0" w:line="180"/>
              <w:jc w:val="left"/>
            </w:pPr>
            <w:r>
              <w:rPr>
                <w:rFonts w:ascii="Courier New" w:cs="Courier New" w:eastAsia="Courier New" w:hAnsi="Courier New"/>
                <w:sz w:val="17"/>
                <w:szCs w:val="17"/>
              </w:rPr>
              <w:t xml:space="preserve">│   ├── coder</w:t>
            </w:r>
          </w:p>
          <w:p>
            <w:pPr>
              <w:keepNext/>
              <w:keepLines/>
              <w:spacing w:after="0" w:before="0" w:line="180"/>
              <w:jc w:val="left"/>
            </w:pPr>
            <w:r>
              <w:rPr>
                <w:rFonts w:ascii="Courier New" w:cs="Courier New" w:eastAsia="Courier New" w:hAnsi="Courier New"/>
                <w:sz w:val="17"/>
                <w:szCs w:val="17"/>
              </w:rPr>
              <w:t xml:space="preserve">│   └── reviewer</w:t>
            </w:r>
          </w:p>
          <w:p>
            <w:pPr>
              <w:keepNext/>
              <w:keepLines/>
              <w:spacing w:after="0" w:before="0" w:line="180"/>
              <w:jc w:val="left"/>
            </w:pPr>
            <w:r>
              <w:rPr>
                <w:rFonts w:ascii="Courier New" w:cs="Courier New" w:eastAsia="Courier New" w:hAnsi="Courier New"/>
                <w:sz w:val="17"/>
                <w:szCs w:val="17"/>
              </w:rPr>
              <w:t xml:space="preserve">├── tool/                                     EPHEMERAL</w:t>
            </w:r>
          </w:p>
          <w:p>
            <w:pPr>
              <w:keepNext/>
              <w:keepLines/>
              <w:spacing w:after="0" w:before="0" w:line="180"/>
              <w:jc w:val="left"/>
            </w:pPr>
            <w:r>
              <w:rPr>
                <w:rFonts w:ascii="Courier New" w:cs="Courier New" w:eastAsia="Courier New" w:hAnsi="Courier New"/>
                <w:sz w:val="17"/>
                <w:szCs w:val="17"/>
              </w:rPr>
              <w:t xml:space="preserve">│   └── search/results</w:t>
            </w:r>
          </w:p>
          <w:p>
            <w:pPr>
              <w:keepNext/>
              <w:keepLines/>
              <w:spacing w:after="0" w:before="0" w:line="180"/>
              <w:jc w:val="left"/>
            </w:pPr>
            <w:r>
              <w:rPr>
                <w:rFonts w:ascii="Courier New" w:cs="Courier New" w:eastAsia="Courier New" w:hAnsi="Courier New"/>
                <w:sz w:val="17"/>
                <w:szCs w:val="17"/>
              </w:rPr>
              <w:t xml:space="preserve">└── artifact/                                 PERMANENT</w:t>
            </w:r>
          </w:p>
          <w:p>
            <w:pPr>
              <w:keepNext/>
              <w:keepLines/>
              <w:spacing w:after="0" w:before="0" w:line="180"/>
              <w:jc w:val="left"/>
            </w:pPr>
            <w:r>
              <w:rPr>
                <w:rFonts w:ascii="Courier New" w:cs="Courier New" w:eastAsia="Courier New" w:hAnsi="Courier New"/>
                <w:sz w:val="17"/>
                <w:szCs w:val="17"/>
              </w:rPr>
              <w:t xml:space="preserve">    └── src/auth/token.py       (path + sha256)</w:t>
            </w:r>
          </w:p>
        </w:tc>
      </w:tr>
    </w:tbl>
    <w:p>
      <w:pPr>
        <w:spacing w:after="160" w:before="80" w:line="240"/>
        <w:jc w:val="center"/>
      </w:pPr>
      <w:r>
        <w:rPr>
          <w:rFonts w:ascii="Times New Roman" w:cs="Times New Roman" w:eastAsia="Times New Roman" w:hAnsi="Times New Roman"/>
          <w:i/>
          <w:iCs/>
          <w:sz w:val="20"/>
          <w:szCs w:val="20"/>
        </w:rPr>
        <w:t xml:space="preserve">Figure 1.1: The ContextOS address space. Each leaf is separately retrievable by its path, and its root determines its lifetime.</w:t>
      </w:r>
    </w:p>
    <w:p>
      <w:pPr>
        <w:pStyle w:val="Heading2"/>
        <w:spacing w:after="120" w:before="200" w:line="360"/>
      </w:pPr>
      <w:r>
        <w:rPr>
          <w:rFonts w:ascii="Times New Roman" w:cs="Times New Roman" w:eastAsia="Times New Roman" w:hAnsi="Times New Roman"/>
          <w:b/>
          <w:bCs/>
          <w:sz w:val="26"/>
          <w:szCs w:val="26"/>
        </w:rPr>
        <w:t xml:space="preserve">Important Technical Terms</w:t>
      </w:r>
    </w:p>
    <w:p>
      <w:pPr>
        <w:pStyle w:val="ListParagraph"/>
        <w:numPr>
          <w:ilvl w:val="0"/>
          <w:numId w:val="2"/>
        </w:numPr>
        <w:spacing w:after="80" w:line="360"/>
        <w:jc w:val="both"/>
      </w:pPr>
      <w:r>
        <w:rPr>
          <w:rFonts w:ascii="Times New Roman" w:cs="Times New Roman" w:eastAsia="Times New Roman" w:hAnsi="Times New Roman"/>
          <w:sz w:val="22"/>
          <w:szCs w:val="22"/>
        </w:rPr>
        <w:t xml:space="preserve">Token — the unit in which models measure text; billing and context limits are both expressed in tokens. Context window — the maximum tokens a model can consider at once.</w:t>
      </w:r>
    </w:p>
    <w:p>
      <w:pPr>
        <w:pStyle w:val="ListParagraph"/>
        <w:numPr>
          <w:ilvl w:val="0"/>
          <w:numId w:val="2"/>
        </w:numPr>
        <w:spacing w:after="80" w:line="360"/>
        <w:jc w:val="both"/>
      </w:pPr>
      <w:r>
        <w:rPr>
          <w:rFonts w:ascii="Times New Roman" w:cs="Times New Roman" w:eastAsia="Times New Roman" w:hAnsi="Times New Roman"/>
          <w:sz w:val="22"/>
          <w:szCs w:val="22"/>
        </w:rPr>
        <w:t xml:space="preserve">Agent trajectory — the full sequence of messages, reasoning steps and tool calls produced while an agent works. Handoff — continuing an in-progress task on a different model.</w:t>
      </w:r>
    </w:p>
    <w:p>
      <w:pPr>
        <w:pStyle w:val="ListParagraph"/>
        <w:numPr>
          <w:ilvl w:val="0"/>
          <w:numId w:val="2"/>
        </w:numPr>
        <w:spacing w:after="80" w:line="360"/>
        <w:jc w:val="both"/>
      </w:pPr>
      <w:r>
        <w:rPr>
          <w:rFonts w:ascii="Times New Roman" w:cs="Times New Roman" w:eastAsia="Times New Roman" w:hAnsi="Times New Roman"/>
          <w:sz w:val="22"/>
          <w:szCs w:val="22"/>
        </w:rPr>
        <w:t xml:space="preserve">Escalation and downshift — a handoff from a weaker model to a stronger one, and the reverse.</w:t>
      </w:r>
    </w:p>
    <w:p>
      <w:pPr>
        <w:pStyle w:val="ListParagraph"/>
        <w:numPr>
          <w:ilvl w:val="0"/>
          <w:numId w:val="2"/>
        </w:numPr>
        <w:spacing w:after="80" w:line="360"/>
        <w:jc w:val="both"/>
      </w:pPr>
      <w:r>
        <w:rPr>
          <w:rFonts w:ascii="Times New Roman" w:cs="Times New Roman" w:eastAsia="Times New Roman" w:hAnsi="Times New Roman"/>
          <w:sz w:val="22"/>
          <w:szCs w:val="22"/>
        </w:rPr>
        <w:t xml:space="preserve">Bi-temporal validity — recording both when a fact was written and the period it was true, so superseded facts are retained without being treated as current. Provenance — which agent wrote a unit, when, and at what confidence.</w:t>
      </w:r>
    </w:p>
    <w:p>
      <w:pPr>
        <w:pStyle w:val="ListParagraph"/>
        <w:numPr>
          <w:ilvl w:val="0"/>
          <w:numId w:val="2"/>
        </w:numPr>
        <w:spacing w:after="80" w:line="360"/>
        <w:jc w:val="both"/>
      </w:pPr>
      <w:r>
        <w:rPr>
          <w:rFonts w:ascii="Times New Roman" w:cs="Times New Roman" w:eastAsia="Times New Roman" w:hAnsi="Times New Roman"/>
          <w:sz w:val="22"/>
          <w:szCs w:val="22"/>
        </w:rPr>
        <w:t xml:space="preserve">Token budget — a hard limit on the tokens a transferred context may occupy. Loss manifest — an explicit list of units that exist but were not transferred.</w:t>
      </w:r>
    </w:p>
    <w:p>
      <w:pPr>
        <w:pStyle w:val="Heading1"/>
        <w:pageBreakBefore/>
        <w:spacing w:after="160" w:before="0" w:line="360"/>
      </w:pPr>
      <w:r>
        <w:rPr>
          <w:rFonts w:ascii="Times New Roman" w:cs="Times New Roman" w:eastAsia="Times New Roman" w:hAnsi="Times New Roman"/>
          <w:b/>
          <w:bCs/>
          <w:sz w:val="30"/>
          <w:szCs w:val="30"/>
        </w:rPr>
        <w:t xml:space="preserve">2. Statement of Problem and Objectives</w:t>
      </w:r>
    </w:p>
    <w:p>
      <w:pPr>
        <w:pStyle w:val="Heading2"/>
        <w:spacing w:after="120" w:before="200" w:line="360"/>
      </w:pPr>
      <w:r>
        <w:rPr>
          <w:rFonts w:ascii="Times New Roman" w:cs="Times New Roman" w:eastAsia="Times New Roman" w:hAnsi="Times New Roman"/>
          <w:b/>
          <w:bCs/>
          <w:sz w:val="26"/>
          <w:szCs w:val="26"/>
        </w:rPr>
        <w:t xml:space="preserve">2.1 Limitations of the Existing System</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Current agent systems keep a task’s context inside the model conversation. Four limitations follow.</w:t>
      </w:r>
    </w:p>
    <w:p>
      <w:pPr>
        <w:pStyle w:val="ListParagraph"/>
        <w:numPr>
          <w:ilvl w:val="0"/>
          <w:numId w:val="2"/>
        </w:numPr>
        <w:spacing w:after="80" w:line="360"/>
        <w:jc w:val="both"/>
      </w:pPr>
      <w:r>
        <w:rPr>
          <w:rFonts w:ascii="Times New Roman" w:cs="Times New Roman" w:eastAsia="Times New Roman" w:hAnsi="Times New Roman"/>
          <w:sz w:val="22"/>
          <w:szCs w:val="22"/>
        </w:rPr>
        <w:t xml:space="preserve">Cost and degradation grow with length. The whole history is resent each turn, so token use grows roughly with the square of the number of turns while the share of it relevant to the current step falls.</w:t>
      </w:r>
    </w:p>
    <w:p>
      <w:pPr>
        <w:pStyle w:val="ListParagraph"/>
        <w:numPr>
          <w:ilvl w:val="0"/>
          <w:numId w:val="2"/>
        </w:numPr>
        <w:spacing w:after="80" w:line="360"/>
        <w:jc w:val="both"/>
      </w:pPr>
      <w:r>
        <w:rPr>
          <w:rFonts w:ascii="Times New Roman" w:cs="Times New Roman" w:eastAsia="Times New Roman" w:hAnsi="Times New Roman"/>
          <w:sz w:val="22"/>
          <w:szCs w:val="22"/>
        </w:rPr>
        <w:t xml:space="preserve">The task cannot survive a change of model. When a provider is rate-limited, unavailable or unsuitable, the accumulated state is lost with the conversation.</w:t>
      </w:r>
    </w:p>
    <w:p>
      <w:pPr>
        <w:pStyle w:val="ListParagraph"/>
        <w:numPr>
          <w:ilvl w:val="0"/>
          <w:numId w:val="2"/>
        </w:numPr>
        <w:spacing w:after="80" w:line="360"/>
        <w:jc w:val="both"/>
      </w:pPr>
      <w:r>
        <w:rPr>
          <w:rFonts w:ascii="Times New Roman" w:cs="Times New Roman" w:eastAsia="Times New Roman" w:hAnsi="Times New Roman"/>
          <w:sz w:val="22"/>
          <w:szCs w:val="22"/>
        </w:rPr>
        <w:t xml:space="preserve">Transferring the whole conversation does not work either. Measured results show that giving a stronger model the weaker model’s full trajectory recovers under half the available quality gain at several times the cost (Section 3).</w:t>
      </w:r>
    </w:p>
    <w:p>
      <w:pPr>
        <w:pStyle w:val="ListParagraph"/>
        <w:numPr>
          <w:ilvl w:val="0"/>
          <w:numId w:val="2"/>
        </w:numPr>
        <w:spacing w:after="80" w:line="360"/>
        <w:jc w:val="both"/>
      </w:pPr>
      <w:r>
        <w:rPr>
          <w:rFonts w:ascii="Times New Roman" w:cs="Times New Roman" w:eastAsia="Times New Roman" w:hAnsi="Times New Roman"/>
          <w:sz w:val="22"/>
          <w:szCs w:val="22"/>
        </w:rPr>
        <w:t xml:space="preserve">Selective approaches fail silently. A system that sends part of the context without saying so leaves the receiving model unable to tell “this does not exist” from “this was not sent”, so it proceeds confidently on incomplete information.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Existing memory systems address a related but different problem, conversational recall, and none treats transfer of an in-progress task between models as the problem to be solved.</w:t>
      </w:r>
    </w:p>
    <w:p>
      <w:pPr>
        <w:pStyle w:val="Heading2"/>
        <w:spacing w:after="120" w:before="200" w:line="360"/>
      </w:pPr>
      <w:r>
        <w:rPr>
          <w:rFonts w:ascii="Times New Roman" w:cs="Times New Roman" w:eastAsia="Times New Roman" w:hAnsi="Times New Roman"/>
          <w:b/>
          <w:bCs/>
          <w:sz w:val="26"/>
          <w:szCs w:val="26"/>
        </w:rPr>
        <w:t xml:space="preserve">2.2 Objectives of the Proposed Project</w:t>
      </w:r>
    </w:p>
    <w:p>
      <w:pPr>
        <w:pStyle w:val="ListParagraph"/>
        <w:numPr>
          <w:ilvl w:val="0"/>
          <w:numId w:val="3"/>
        </w:numPr>
        <w:spacing w:after="80" w:line="360"/>
        <w:jc w:val="both"/>
      </w:pPr>
      <w:r>
        <w:rPr>
          <w:rFonts w:ascii="Times New Roman" w:cs="Times New Roman" w:eastAsia="Times New Roman" w:hAnsi="Times New Roman"/>
          <w:sz w:val="22"/>
          <w:szCs w:val="22"/>
        </w:rPr>
        <w:t xml:space="preserve">To design and implement an addressable, bi-temporal context store in which every unit is retrievable by a hierarchical address, retains its provenance, and can be superseded without destroying its history.</w:t>
      </w:r>
    </w:p>
    <w:p>
      <w:pPr>
        <w:pStyle w:val="ListParagraph"/>
        <w:numPr>
          <w:ilvl w:val="0"/>
          <w:numId w:val="3"/>
        </w:numPr>
        <w:spacing w:after="80" w:line="360"/>
        <w:jc w:val="both"/>
      </w:pPr>
      <w:r>
        <w:rPr>
          <w:rFonts w:ascii="Times New Roman" w:cs="Times New Roman" w:eastAsia="Times New Roman" w:hAnsi="Times New Roman"/>
          <w:sz w:val="22"/>
          <w:szCs w:val="22"/>
        </w:rPr>
        <w:t xml:space="preserve">To implement hybrid retrieval combining deterministic address routing, BM25 full-text ranking and an importance–recency prior, fused by Reciprocal Rank Fusion.</w:t>
      </w:r>
    </w:p>
    <w:p>
      <w:pPr>
        <w:pStyle w:val="ListParagraph"/>
        <w:numPr>
          <w:ilvl w:val="0"/>
          <w:numId w:val="3"/>
        </w:numPr>
        <w:spacing w:after="80" w:line="360"/>
        <w:jc w:val="both"/>
      </w:pPr>
      <w:r>
        <w:rPr>
          <w:rFonts w:ascii="Times New Roman" w:cs="Times New Roman" w:eastAsia="Times New Roman" w:hAnsi="Times New Roman"/>
          <w:sz w:val="22"/>
          <w:szCs w:val="22"/>
        </w:rPr>
        <w:t xml:space="preserve">To implement direction-aware handoff packets whose content differs for escalation and downshift, with the token budget enforced on the rendered packet.</w:t>
      </w:r>
    </w:p>
    <w:p>
      <w:pPr>
        <w:pStyle w:val="ListParagraph"/>
        <w:numPr>
          <w:ilvl w:val="0"/>
          <w:numId w:val="3"/>
        </w:numPr>
        <w:spacing w:after="80" w:line="360"/>
        <w:jc w:val="both"/>
      </w:pPr>
      <w:r>
        <w:rPr>
          <w:rFonts w:ascii="Times New Roman" w:cs="Times New Roman" w:eastAsia="Times New Roman" w:hAnsi="Times New Roman"/>
          <w:sz w:val="22"/>
          <w:szCs w:val="22"/>
        </w:rPr>
        <w:t xml:space="preserve">To ensure omission is never silent, by attaching a loss manifest naming every unit that exists but was not transferred.</w:t>
      </w:r>
    </w:p>
    <w:p>
      <w:pPr>
        <w:pStyle w:val="ListParagraph"/>
        <w:numPr>
          <w:ilvl w:val="0"/>
          <w:numId w:val="3"/>
        </w:numPr>
        <w:spacing w:after="80" w:line="360"/>
        <w:jc w:val="both"/>
      </w:pPr>
      <w:r>
        <w:rPr>
          <w:rFonts w:ascii="Times New Roman" w:cs="Times New Roman" w:eastAsia="Times New Roman" w:hAnsi="Times New Roman"/>
          <w:sz w:val="22"/>
          <w:szCs w:val="22"/>
        </w:rPr>
        <w:t xml:space="preserve">To detect contradicting writes to one address by different agents and surface them as conflicts instead of overwriting silently.</w:t>
      </w:r>
    </w:p>
    <w:p>
      <w:pPr>
        <w:pStyle w:val="ListParagraph"/>
        <w:numPr>
          <w:ilvl w:val="0"/>
          <w:numId w:val="3"/>
        </w:numPr>
        <w:spacing w:after="80" w:line="360"/>
        <w:jc w:val="both"/>
      </w:pPr>
      <w:r>
        <w:rPr>
          <w:rFonts w:ascii="Times New Roman" w:cs="Times New Roman" w:eastAsia="Times New Roman" w:hAnsi="Times New Roman"/>
          <w:sz w:val="22"/>
          <w:szCs w:val="22"/>
        </w:rPr>
        <w:t xml:space="preserve">To evaluate the system against defined baselines using a reproducible benchmark, and to expose it through an MCP server, a command line interface and a web dashboard.</w:t>
      </w:r>
    </w:p>
    <w:p>
      <w:pPr>
        <w:pStyle w:val="Heading1"/>
        <w:pageBreakBefore/>
        <w:spacing w:after="160" w:before="0" w:line="360"/>
      </w:pPr>
      <w:r>
        <w:rPr>
          <w:rFonts w:ascii="Times New Roman" w:cs="Times New Roman" w:eastAsia="Times New Roman" w:hAnsi="Times New Roman"/>
          <w:b/>
          <w:bCs/>
          <w:sz w:val="30"/>
          <w:szCs w:val="30"/>
        </w:rPr>
        <w:t xml:space="preserve">3. Literature Survey</w:t>
      </w:r>
    </w:p>
    <w:p>
      <w:pPr>
        <w:pStyle w:val="Heading2"/>
        <w:spacing w:after="120" w:before="200" w:line="360"/>
      </w:pPr>
      <w:r>
        <w:rPr>
          <w:rFonts w:ascii="Times New Roman" w:cs="Times New Roman" w:eastAsia="Times New Roman" w:hAnsi="Times New Roman"/>
          <w:b/>
          <w:bCs/>
          <w:sz w:val="26"/>
          <w:szCs w:val="26"/>
        </w:rPr>
        <w:t xml:space="preserve">3.1 Memory Systems for Language Model Agents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Packer, Fang and co-authors introduced MemGPT, applying operating-system principles to context: a main context inside the model’s window, an external context on disk, and a queue manager that pages between them under token pressure, raising deep-retrieval accuracy from 32.1 to 92.5 per cent. Mem0 extracts salient facts and consolidates them through ADD, UPDATE, DELETE and NOOP operations, reporting a 92 per cent cut in 95th-percentile latency on LOCOMO. Rasmussen and co-authors describe Zep, a temporal knowledge graph under a bi-temporal model in which contradicted facts are invalidated rather than deleted, compressing roughly 115,000 tokens to 1,600 on LongMemEval.</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ContextOS borrows deliberately: bi-temporal invalidation follows Zep, and treating an identical rewrite as a no-operation follows Mem0. All three, however, target conversational recall, not moving an in-progress agentic task between models.</w:t>
      </w:r>
    </w:p>
    <w:p>
      <w:pPr>
        <w:pStyle w:val="Heading2"/>
        <w:spacing w:after="120" w:before="200" w:line="360"/>
      </w:pPr>
      <w:r>
        <w:rPr>
          <w:rFonts w:ascii="Times New Roman" w:cs="Times New Roman" w:eastAsia="Times New Roman" w:hAnsi="Times New Roman"/>
          <w:b/>
          <w:bCs/>
          <w:sz w:val="26"/>
          <w:szCs w:val="26"/>
        </w:rPr>
        <w:t xml:space="preserve">3.2 Measurements of Cross-Model Handoff</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A 2026 study, “The Handoff Tax: Continuing Non-Native Trajectories in LLM Agents”, measures that problem directly across roughly 58,000 agent runs on SWE-bench Verified, comparing four transfer interfaces. Its results, summarised in Figure 3.1, are decisive for this project.</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9780"/>
      </w:tblGrid>
      <w:tr>
        <w:tc>
          <w:tcPr>
            <w:tcW w:type="dxa" w:w="9780"/>
            <w:tcMar>
              <w:top w:type="dxa" w:w="120"/>
              <w:left w:type="dxa" w:w="160"/>
              <w:bottom w:type="dxa" w:w="120"/>
              <w:right w:type="dxa" w:w="160"/>
            </w:tcMar>
          </w:tcPr>
          <w:p>
            <w:pPr>
              <w:keepNext/>
              <w:keepLines/>
              <w:spacing w:after="0" w:before="0" w:line="180"/>
              <w:jc w:val="left"/>
            </w:pPr>
            <w:r>
              <w:rPr>
                <w:rFonts w:ascii="Courier New" w:cs="Courier New" w:eastAsia="Courier New" w:hAnsi="Courier New"/>
                <w:sz w:val="17"/>
                <w:szCs w:val="17"/>
              </w:rPr>
              <w:t xml:space="preserve">  Quality-gap recovery when a task moves to a STRONGER model</w:t>
            </w:r>
          </w:p>
          <w:p>
            <w:pPr>
              <w:keepNext/>
              <w:keepLines/>
              <w:spacing w:after="0" w:before="0" w:line="180"/>
              <w:jc w:val="left"/>
            </w:pPr>
            <w:r>
              <w:rPr>
                <w:rFonts w:ascii="Courier New" w:cs="Courier New" w:eastAsia="Courier New" w:hAnsi="Courier New"/>
                <w:sz w:val="17"/>
                <w:szCs w:val="17"/>
              </w:rPr>
              <w:t xml:space="preserve">  (higher is better; 100% = as good as starting fresh on the strong model)</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full trajectory     Claude  │████████████████░░░░░░░░░░░░░░░░░│  47%</w:t>
            </w:r>
          </w:p>
          <w:p>
            <w:pPr>
              <w:keepNext/>
              <w:keepLines/>
              <w:spacing w:after="0" w:before="0" w:line="180"/>
              <w:jc w:val="left"/>
            </w:pPr>
            <w:r>
              <w:rPr>
                <w:rFonts w:ascii="Courier New" w:cs="Courier New" w:eastAsia="Courier New" w:hAnsi="Courier New"/>
                <w:sz w:val="17"/>
                <w:szCs w:val="17"/>
              </w:rPr>
              <w:t xml:space="preserve">  sent to next model  GPT     │████████████░░░░░░░░░░░░░░░░░░░░░│  36%</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trajectory DROPPED, Claude  │█████████████████████░░░░░░░░░░░░│  64%</w:t>
            </w:r>
          </w:p>
          <w:p>
            <w:pPr>
              <w:keepNext/>
              <w:keepLines/>
              <w:spacing w:after="0" w:before="0" w:line="180"/>
              <w:jc w:val="left"/>
            </w:pPr>
            <w:r>
              <w:rPr>
                <w:rFonts w:ascii="Courier New" w:cs="Courier New" w:eastAsia="Courier New" w:hAnsi="Courier New"/>
                <w:sz w:val="17"/>
                <w:szCs w:val="17"/>
              </w:rPr>
              <w:t xml:space="preserve">  work products kept  GPT     │████████████████████████████░░░░░│  84%</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0%                         100%</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Moving DOWN to a weaker model reverses it: dropping the trajectory</w:t>
            </w:r>
          </w:p>
          <w:p>
            <w:pPr>
              <w:keepNext/>
              <w:keepLines/>
              <w:spacing w:after="0" w:before="0" w:line="180"/>
              <w:jc w:val="left"/>
            </w:pPr>
            <w:r>
              <w:rPr>
                <w:rFonts w:ascii="Courier New" w:cs="Courier New" w:eastAsia="Courier New" w:hAnsi="Courier New"/>
                <w:sz w:val="17"/>
                <w:szCs w:val="17"/>
              </w:rPr>
              <w:t xml:space="preserve">  there falls to 28% (Claude) and 53% (GPT).</w:t>
            </w:r>
          </w:p>
        </w:tc>
      </w:tr>
    </w:tbl>
    <w:p>
      <w:pPr>
        <w:spacing w:after="160" w:before="80" w:line="240"/>
        <w:jc w:val="center"/>
      </w:pPr>
      <w:r>
        <w:rPr>
          <w:rFonts w:ascii="Times New Roman" w:cs="Times New Roman" w:eastAsia="Times New Roman" w:hAnsi="Times New Roman"/>
          <w:i/>
          <w:iCs/>
          <w:sz w:val="20"/>
          <w:szCs w:val="20"/>
        </w:rPr>
        <w:t xml:space="preserve">Figure 3.1: Measured cost of each handoff interface (arXiv 2608.24358). Sending everything is the worst option, and the best option reverses with direction.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A companion study, “Specification Portability Across LLM Development Agents”, used 1,802 Oracle-to-PostgreSQL scripts and found token F1 falling to 0.035 in the worst cross-agent pairing, establishing that agent-authored artefacts are not agent-neutral. It also found retrieval-augmented ingestion on the Pareto frontier, whereas compression gave no universal benefit.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Together these define the gap. Discarding the trajectory works because durable work products survive it — but there, those products were files. Decisions, constraints and blockers are equally durable, yet have no comparable store. ContextOS provides it, and generates a different packet per direction.</w:t>
      </w:r>
    </w:p>
    <w:p>
      <w:pPr>
        <w:pStyle w:val="Heading1"/>
        <w:pageBreakBefore/>
        <w:spacing w:after="160" w:before="0" w:line="360"/>
      </w:pPr>
      <w:r>
        <w:rPr>
          <w:rFonts w:ascii="Times New Roman" w:cs="Times New Roman" w:eastAsia="Times New Roman" w:hAnsi="Times New Roman"/>
          <w:b/>
          <w:bCs/>
          <w:sz w:val="30"/>
          <w:szCs w:val="30"/>
        </w:rPr>
        <w:t xml:space="preserve">4. Expected Outcome / Scope of the Project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expected outcome is a working, dependency-free context layer that lets an agentic task continue across a change of model without losing the state the remaining work depends on, at a far smaller token cost than resending the conversation, and with no silent omission.</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9780"/>
      </w:tblGrid>
      <w:tr>
        <w:tc>
          <w:tcPr>
            <w:tcW w:type="dxa" w:w="9780"/>
            <w:tcMar>
              <w:top w:type="dxa" w:w="120"/>
              <w:left w:type="dxa" w:w="160"/>
              <w:bottom w:type="dxa" w:w="120"/>
              <w:right w:type="dxa" w:w="160"/>
            </w:tcMar>
          </w:tcPr>
          <w:p>
            <w:pPr>
              <w:keepNext/>
              <w:keepLines/>
              <w:spacing w:after="0" w:before="0" w:line="180"/>
              <w:jc w:val="left"/>
            </w:pPr>
            <w:r>
              <w:rPr>
                <w:rFonts w:ascii="Courier New" w:cs="Courier New" w:eastAsia="Courier New" w:hAnsi="Courier New"/>
                <w:sz w:val="17"/>
                <w:szCs w:val="17"/>
              </w:rPr>
              <w:t xml:space="preserve">  ┌── what happens on every user prompt ─────────────────────────┐</w:t>
            </w:r>
          </w:p>
          <w:p>
            <w:pPr>
              <w:keepNext/>
              <w:keepLines/>
              <w:spacing w:after="0" w:before="0" w:line="180"/>
              <w:jc w:val="left"/>
            </w:pPr>
            <w:r>
              <w:rPr>
                <w:rFonts w:ascii="Courier New" w:cs="Courier New" w:eastAsia="Courier New" w:hAnsi="Courier New"/>
                <w:sz w:val="17"/>
                <w:szCs w:val="17"/>
              </w:rPr>
              <w:t xml:space="preserve">  │  1  RETRIEVE ......... address router + BM25 over FTS5       │</w:t>
            </w:r>
          </w:p>
          <w:p>
            <w:pPr>
              <w:keepNext/>
              <w:keepLines/>
              <w:spacing w:after="0" w:before="0" w:line="180"/>
              <w:jc w:val="left"/>
            </w:pPr>
            <w:r>
              <w:rPr>
                <w:rFonts w:ascii="Courier New" w:cs="Courier New" w:eastAsia="Courier New" w:hAnsi="Courier New"/>
                <w:sz w:val="17"/>
                <w:szCs w:val="17"/>
              </w:rPr>
              <w:t xml:space="preserve">  │  2  RANK AND FUSE .... RRF over four independent rankers     │</w:t>
            </w:r>
          </w:p>
          <w:p>
            <w:pPr>
              <w:keepNext/>
              <w:keepLines/>
              <w:spacing w:after="0" w:before="0" w:line="180"/>
              <w:jc w:val="left"/>
            </w:pPr>
            <w:r>
              <w:rPr>
                <w:rFonts w:ascii="Courier New" w:cs="Courier New" w:eastAsia="Courier New" w:hAnsi="Courier New"/>
                <w:sz w:val="17"/>
                <w:szCs w:val="17"/>
              </w:rPr>
              <w:t xml:space="preserve">  │  3  FIT TO BUDGET .... goal and constraints are never cut    │</w:t>
            </w:r>
          </w:p>
          <w:p>
            <w:pPr>
              <w:keepNext/>
              <w:keepLines/>
              <w:spacing w:after="0" w:before="0" w:line="180"/>
              <w:jc w:val="left"/>
            </w:pPr>
            <w:r>
              <w:rPr>
                <w:rFonts w:ascii="Courier New" w:cs="Courier New" w:eastAsia="Courier New" w:hAnsi="Courier New"/>
                <w:sz w:val="17"/>
                <w:szCs w:val="17"/>
              </w:rPr>
              <w:t xml:space="preserve">  │  4  CALL THE MODEL                                           │</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ok │                                  │ fails / rate-limited</w:t>
            </w:r>
          </w:p>
          <w:p>
            <w:pPr>
              <w:keepNext/>
              <w:keepLines/>
              <w:spacing w:after="0" w:before="0" w:line="180"/>
              <w:jc w:val="left"/>
            </w:pPr>
            <w:r>
              <w:rPr>
                <w:rFonts w:ascii="Courier New" w:cs="Courier New" w:eastAsia="Courier New" w:hAnsi="Courier New"/>
                <w:sz w:val="17"/>
                <w:szCs w:val="17"/>
              </w:rPr>
              <w:t xml:space="preserve">          v                                  v</w:t>
            </w:r>
          </w:p>
          <w:p>
            <w:pPr>
              <w:keepNext/>
              <w:keepLines/>
              <w:spacing w:after="0" w:before="0" w:line="180"/>
              <w:jc w:val="left"/>
            </w:pPr>
            <w:r>
              <w:rPr>
                <w:rFonts w:ascii="Courier New" w:cs="Courier New" w:eastAsia="Courier New" w:hAnsi="Courier New"/>
                <w:sz w:val="17"/>
                <w:szCs w:val="17"/>
              </w:rPr>
              <w:t xml:space="preserve">  ┌─────────────────────┐      ┌──────────────────────────────┐</w:t>
            </w:r>
          </w:p>
          <w:p>
            <w:pPr>
              <w:keepNext/>
              <w:keepLines/>
              <w:spacing w:after="0" w:before="0" w:line="180"/>
              <w:jc w:val="left"/>
            </w:pPr>
            <w:r>
              <w:rPr>
                <w:rFonts w:ascii="Courier New" w:cs="Courier New" w:eastAsia="Courier New" w:hAnsi="Courier New"/>
                <w:sz w:val="17"/>
                <w:szCs w:val="17"/>
              </w:rPr>
              <w:t xml:space="preserve">  │6  COMMIT decisions, │      │5  BUILD HANDOFF PACKET       │</w:t>
            </w:r>
          </w:p>
          <w:p>
            <w:pPr>
              <w:keepNext/>
              <w:keepLines/>
              <w:spacing w:after="0" w:before="0" w:line="180"/>
              <w:jc w:val="left"/>
            </w:pPr>
            <w:r>
              <w:rPr>
                <w:rFonts w:ascii="Courier New" w:cs="Courier New" w:eastAsia="Courier New" w:hAnsi="Courier New"/>
                <w:sz w:val="17"/>
                <w:szCs w:val="17"/>
              </w:rPr>
              <w:t xml:space="preserve">  │   constraints, files│      │   escalate / downshift       │</w:t>
            </w:r>
          </w:p>
          <w:p>
            <w:pPr>
              <w:keepNext/>
              <w:keepLines/>
              <w:spacing w:after="0" w:before="0" w:line="180"/>
              <w:jc w:val="left"/>
            </w:pPr>
            <w:r>
              <w:rPr>
                <w:rFonts w:ascii="Courier New" w:cs="Courier New" w:eastAsia="Courier New" w:hAnsi="Courier New"/>
                <w:sz w:val="17"/>
                <w:szCs w:val="17"/>
              </w:rPr>
              <w:t xml:space="preserve">  │   back to the store │      │   + loss manifest            │</w:t>
            </w:r>
          </w:p>
          <w:p>
            <w:pPr>
              <w:keepNext/>
              <w:keepLines/>
              <w:spacing w:after="0" w:before="0" w:line="180"/>
              <w:jc w:val="left"/>
            </w:pPr>
            <w:r>
              <w:rPr>
                <w:rFonts w:ascii="Courier New" w:cs="Courier New" w:eastAsia="Courier New" w:hAnsi="Courier New"/>
                <w:sz w:val="17"/>
                <w:szCs w:val="17"/>
              </w:rPr>
              <w:t xml:space="preserve">  └─────────────────────┘      └────────────────┬─────────────┘</w:t>
            </w:r>
          </w:p>
          <w:p>
            <w:pPr>
              <w:keepNext/>
              <w:keepLines/>
              <w:spacing w:after="0" w:before="0" w:line="180"/>
              <w:jc w:val="left"/>
            </w:pPr>
            <w:r>
              <w:rPr>
                <w:rFonts w:ascii="Courier New" w:cs="Courier New" w:eastAsia="Courier New" w:hAnsi="Courier New"/>
                <w:sz w:val="17"/>
                <w:szCs w:val="17"/>
              </w:rPr>
              <w:t xml:space="preserve">                                                v</w:t>
            </w:r>
          </w:p>
          <w:p>
            <w:pPr>
              <w:keepNext/>
              <w:keepLines/>
              <w:spacing w:after="0" w:before="0" w:line="180"/>
              <w:jc w:val="left"/>
            </w:pPr>
            <w:r>
              <w:rPr>
                <w:rFonts w:ascii="Courier New" w:cs="Courier New" w:eastAsia="Courier New" w:hAnsi="Courier New"/>
                <w:sz w:val="17"/>
                <w:szCs w:val="17"/>
              </w:rPr>
              <w:t xml:space="preserve">                                    next model continues the task</w:t>
            </w:r>
          </w:p>
        </w:tc>
      </w:tr>
    </w:tbl>
    <w:p>
      <w:pPr>
        <w:spacing w:after="160" w:before="80" w:line="240"/>
        <w:jc w:val="center"/>
      </w:pPr>
      <w:r>
        <w:rPr>
          <w:rFonts w:ascii="Times New Roman" w:cs="Times New Roman" w:eastAsia="Times New Roman" w:hAnsi="Times New Roman"/>
          <w:i/>
          <w:iCs/>
          <w:sz w:val="20"/>
          <w:szCs w:val="20"/>
        </w:rPr>
        <w:t xml:space="preserve">Figure 4.1: What the system does on every turn. Steps 1–3 keep the prompt small; step 5 runs only when a provider fails, and is what lets the task survive the change.</w:t>
      </w:r>
    </w:p>
    <w:p>
      <w:pPr>
        <w:pStyle w:val="Heading2"/>
        <w:spacing w:after="120" w:before="200" w:line="360"/>
      </w:pPr>
      <w:r>
        <w:rPr>
          <w:rFonts w:ascii="Times New Roman" w:cs="Times New Roman" w:eastAsia="Times New Roman" w:hAnsi="Times New Roman"/>
          <w:b/>
          <w:bCs/>
          <w:sz w:val="26"/>
          <w:szCs w:val="26"/>
        </w:rPr>
        <w:t xml:space="preserve">4.1 Key Features</w:t>
      </w:r>
    </w:p>
    <w:p>
      <w:pPr>
        <w:pStyle w:val="ListParagraph"/>
        <w:numPr>
          <w:ilvl w:val="0"/>
          <w:numId w:val="2"/>
        </w:numPr>
        <w:spacing w:after="80" w:line="360"/>
        <w:jc w:val="both"/>
      </w:pPr>
      <w:r>
        <w:rPr>
          <w:rFonts w:ascii="Times New Roman" w:cs="Times New Roman" w:eastAsia="Times New Roman" w:hAnsi="Times New Roman"/>
          <w:sz w:val="22"/>
          <w:szCs w:val="22"/>
        </w:rPr>
        <w:t xml:space="preserve">An addressable store with a fixed root vocabulary, versioning, provenance and bi-temporal validity, plus lifecycle rules so transient tool output expires while user preferences do not.</w:t>
      </w:r>
    </w:p>
    <w:p>
      <w:pPr>
        <w:pStyle w:val="ListParagraph"/>
        <w:numPr>
          <w:ilvl w:val="0"/>
          <w:numId w:val="2"/>
        </w:numPr>
        <w:spacing w:after="80" w:line="360"/>
        <w:jc w:val="both"/>
      </w:pPr>
      <w:r>
        <w:rPr>
          <w:rFonts w:ascii="Times New Roman" w:cs="Times New Roman" w:eastAsia="Times New Roman" w:hAnsi="Times New Roman"/>
          <w:sz w:val="22"/>
          <w:szCs w:val="22"/>
        </w:rPr>
        <w:t xml:space="preserve">Hybrid retrieval fusing address routing, BM25 and an importance–recency prior, with an intent ranker mapping “what is blocking us” to units of kind blocker.</w:t>
      </w:r>
    </w:p>
    <w:p>
      <w:pPr>
        <w:pStyle w:val="ListParagraph"/>
        <w:numPr>
          <w:ilvl w:val="0"/>
          <w:numId w:val="2"/>
        </w:numPr>
        <w:spacing w:after="80" w:line="360"/>
        <w:jc w:val="both"/>
      </w:pPr>
      <w:r>
        <w:rPr>
          <w:rFonts w:ascii="Times New Roman" w:cs="Times New Roman" w:eastAsia="Times New Roman" w:hAnsi="Times New Roman"/>
          <w:sz w:val="22"/>
          <w:szCs w:val="22"/>
        </w:rPr>
        <w:t xml:space="preserve">Direction-aware handoff packets, with the budget enforced on the rendered output rather than the sum of selected units.</w:t>
      </w:r>
    </w:p>
    <w:p>
      <w:pPr>
        <w:pStyle w:val="ListParagraph"/>
        <w:numPr>
          <w:ilvl w:val="0"/>
          <w:numId w:val="2"/>
        </w:numPr>
        <w:spacing w:after="80" w:line="360"/>
        <w:jc w:val="both"/>
      </w:pPr>
      <w:r>
        <w:rPr>
          <w:rFonts w:ascii="Times New Roman" w:cs="Times New Roman" w:eastAsia="Times New Roman" w:hAnsi="Times New Roman"/>
          <w:sz w:val="22"/>
          <w:szCs w:val="22"/>
        </w:rPr>
        <w:t xml:space="preserve">A loss manifest naming every unit that exists but was not transferred, and conflict detection when two agents write contradicting values to one address.</w:t>
      </w:r>
    </w:p>
    <w:p>
      <w:pPr>
        <w:pStyle w:val="ListParagraph"/>
        <w:numPr>
          <w:ilvl w:val="0"/>
          <w:numId w:val="2"/>
        </w:numPr>
        <w:spacing w:after="80" w:line="360"/>
        <w:jc w:val="both"/>
      </w:pPr>
      <w:r>
        <w:rPr>
          <w:rFonts w:ascii="Times New Roman" w:cs="Times New Roman" w:eastAsia="Times New Roman" w:hAnsi="Times New Roman"/>
          <w:sz w:val="22"/>
          <w:szCs w:val="22"/>
        </w:rPr>
        <w:t xml:space="preserve">An MCP server, a command line interface, and a local dashboard performing context selection, provider failover and state extraction automatically.</w:t>
      </w:r>
    </w:p>
    <w:p>
      <w:pPr>
        <w:pStyle w:val="Heading2"/>
        <w:spacing w:after="120" w:before="200" w:line="360"/>
      </w:pPr>
      <w:r>
        <w:rPr>
          <w:rFonts w:ascii="Times New Roman" w:cs="Times New Roman" w:eastAsia="Times New Roman" w:hAnsi="Times New Roman"/>
          <w:b/>
          <w:bCs/>
          <w:sz w:val="26"/>
          <w:szCs w:val="26"/>
        </w:rPr>
        <w:t xml:space="preserve">4.2 Users, Applications, Future Scope and Limitations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users are developers building agentic applications, and users of multi-provider assistants needing a long task to survive a quota exhaustion or outage. Applications include long-running coding assistants, multi-agent pipelines where a researcher, coder and reviewer share state without exchanging transcripts, and cost-sensitive routing of routine steps to cheaper models.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Version one excludes dense vector embeddings; address routing covers exact lookup and BM25 the remainder, and they will be added only if evaluation shows a gap on paraphrased queries. Future work includes a larger benchmark suite and a shared multi-user store. The system carries declared state only, not a model’s unstated plan, and its benchmark measures a necessary rather than sufficient condition for success.</w:t>
      </w:r>
    </w:p>
    <w:p>
      <w:pPr>
        <w:pStyle w:val="Heading1"/>
        <w:pageBreakBefore/>
        <w:spacing w:after="160" w:before="0" w:line="360"/>
      </w:pPr>
      <w:r>
        <w:rPr>
          <w:rFonts w:ascii="Times New Roman" w:cs="Times New Roman" w:eastAsia="Times New Roman" w:hAnsi="Times New Roman"/>
          <w:b/>
          <w:bCs/>
          <w:sz w:val="30"/>
          <w:szCs w:val="30"/>
        </w:rPr>
        <w:t xml:space="preserve">5. Tentative Work Plan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project is planned over ten weeks. Design is settled before implementation begins, and the evaluation harness is built before the interfaces, so design decisions can be checked against measurements rather than assumed.</w:t>
      </w:r>
    </w:p>
    <w:p>
      <w:pPr>
        <w:spacing w:after="80" w:before="160" w:line="276"/>
        <w:jc w:val="center"/>
      </w:pPr>
      <w:r>
        <w:rPr>
          <w:rFonts w:ascii="Times New Roman" w:cs="Times New Roman" w:eastAsia="Times New Roman" w:hAnsi="Times New Roman"/>
          <w:i/>
          <w:iCs/>
          <w:sz w:val="22"/>
          <w:szCs w:val="22"/>
        </w:rPr>
        <w:t xml:space="preserve">Table 5.1: Week-wise work plan with activities and milestones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000"/>
        <w:gridCol w:w="6280"/>
        <w:gridCol w:w="2500"/>
      </w:tblGrid>
      <w:tr>
        <w:trPr>
          <w:tblHeader/>
        </w:trPr>
        <w:tc>
          <w:tcPr>
            <w:tcW w:type="dxa" w:w="100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Week</w:t>
            </w:r>
          </w:p>
        </w:tc>
        <w:tc>
          <w:tcPr>
            <w:tcW w:type="dxa" w:w="6280"/>
            <w:shd w:fill="D9D9D9"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Major Activity</w:t>
            </w:r>
          </w:p>
        </w:tc>
        <w:tc>
          <w:tcPr>
            <w:tcW w:type="dxa" w:w="250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Milestone</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Requirement analysis; scoping of the problem; selection of the evaluation approach</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Problem statement and objectives fixed</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Literature study of agent memory systems and cross-model handoff measurements</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Survey completed; design implications recorded</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System design: address grammar, unit schema, bi-temporal model, packet format</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Design approved by the guide</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Context store: SQLite schema, versioning, provenance, conflict detection, lifecycle</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Store functional with unit tests</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Implementation of hybrid retrieval: address router, BM25 over FTS5, intent ranker, RRF fusion</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Relevant units retrieved for natural-language queries</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Implementation of tiered budgeting and direction-aware handoff packet generation with loss manifest</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Packets generated for all three directions within budget</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7</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Benchmark harness: task suite with ground-truth dependencies, baseline strategies, metrics</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Comparative results obtained against baselines</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8</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Interfaces: Model Context Protocol server, command line interface, web dashboard with automatic failover</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End-to-end demonstration working</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9</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Testing and evaluation: full test suite, cross-model evaluation with live providers, defect fixing</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Test suite passing; evaluation results tabulated</w:t>
            </w:r>
          </w:p>
        </w:tc>
      </w:tr>
      <w:tr>
        <w:trPr>
          <w:tblHeader w:val="false"/>
        </w:trPr>
        <w:tc>
          <w:tcPr>
            <w:tcW w:type="dxa" w:w="1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10</w:t>
            </w:r>
          </w:p>
        </w:tc>
        <w:tc>
          <w:tcPr>
            <w:tcW w:type="dxa" w:w="62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Documentation, report preparation and final presentation</w:t>
            </w:r>
          </w:p>
        </w:tc>
        <w:tc>
          <w:tcPr>
            <w:tcW w:type="dxa" w:w="25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Report submitted and project presented</w:t>
            </w:r>
          </w:p>
        </w:tc>
      </w:tr>
    </w:tbl>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9780"/>
      </w:tblGrid>
      <w:tr>
        <w:tc>
          <w:tcPr>
            <w:tcW w:type="dxa" w:w="9780"/>
            <w:tcMar>
              <w:top w:type="dxa" w:w="120"/>
              <w:left w:type="dxa" w:w="160"/>
              <w:bottom w:type="dxa" w:w="120"/>
              <w:right w:type="dxa" w:w="160"/>
            </w:tcMar>
          </w:tcPr>
          <w:p>
            <w:pPr>
              <w:keepNext/>
              <w:keepLines/>
              <w:spacing w:after="0" w:before="0" w:line="180"/>
              <w:jc w:val="left"/>
            </w:pPr>
            <w:r>
              <w:rPr>
                <w:rFonts w:ascii="Courier New" w:cs="Courier New" w:eastAsia="Courier New" w:hAnsi="Courier New"/>
                <w:sz w:val="17"/>
                <w:szCs w:val="17"/>
              </w:rPr>
              <w:t xml:space="preserve">  Week-wise schedule</w:t>
            </w:r>
          </w:p>
          <w:p>
            <w:pPr>
              <w:keepNext/>
              <w:keepLines/>
              <w:spacing w:after="0" w:before="0" w:line="180"/>
              <w:jc w:val="left"/>
            </w:pPr>
            <w:r>
              <w:rPr>
                <w:rFonts w:ascii="Courier New" w:cs="Courier New" w:eastAsia="Courier New" w:hAnsi="Courier New"/>
                <w:sz w:val="17"/>
                <w:szCs w:val="17"/>
              </w:rPr>
              <w:t xml:space="preserve">                   1    2    3    4    5    6    7    8    9    10  </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Requirements     │████│    │    │    │    │    │    │    │    │    │</w:t>
            </w:r>
          </w:p>
          <w:p>
            <w:pPr>
              <w:keepNext/>
              <w:keepLines/>
              <w:spacing w:after="0" w:before="0" w:line="180"/>
              <w:jc w:val="left"/>
            </w:pPr>
            <w:r>
              <w:rPr>
                <w:rFonts w:ascii="Courier New" w:cs="Courier New" w:eastAsia="Courier New" w:hAnsi="Courier New"/>
                <w:sz w:val="17"/>
                <w:szCs w:val="17"/>
              </w:rPr>
              <w:t xml:space="preserve">Literature       │    │████│    │    │    │    │    │    │    │    │</w:t>
            </w:r>
          </w:p>
          <w:p>
            <w:pPr>
              <w:keepNext/>
              <w:keepLines/>
              <w:spacing w:after="0" w:before="0" w:line="180"/>
              <w:jc w:val="left"/>
            </w:pPr>
            <w:r>
              <w:rPr>
                <w:rFonts w:ascii="Courier New" w:cs="Courier New" w:eastAsia="Courier New" w:hAnsi="Courier New"/>
                <w:sz w:val="17"/>
                <w:szCs w:val="17"/>
              </w:rPr>
              <w:t xml:space="preserve">System design    │    │    │████│    │    │    │    │    │    │    │</w:t>
            </w:r>
          </w:p>
          <w:p>
            <w:pPr>
              <w:keepNext/>
              <w:keepLines/>
              <w:spacing w:after="0" w:before="0" w:line="180"/>
              <w:jc w:val="left"/>
            </w:pPr>
            <w:r>
              <w:rPr>
                <w:rFonts w:ascii="Courier New" w:cs="Courier New" w:eastAsia="Courier New" w:hAnsi="Courier New"/>
                <w:sz w:val="17"/>
                <w:szCs w:val="17"/>
              </w:rPr>
              <w:t xml:space="preserve">Context store    │    │    │    │████│    │    │    │    │    │    │</w:t>
            </w:r>
          </w:p>
          <w:p>
            <w:pPr>
              <w:keepNext/>
              <w:keepLines/>
              <w:spacing w:after="0" w:before="0" w:line="180"/>
              <w:jc w:val="left"/>
            </w:pPr>
            <w:r>
              <w:rPr>
                <w:rFonts w:ascii="Courier New" w:cs="Courier New" w:eastAsia="Courier New" w:hAnsi="Courier New"/>
                <w:sz w:val="17"/>
                <w:szCs w:val="17"/>
              </w:rPr>
              <w:t xml:space="preserve">Retrieval        │    │    │    │    │████│    │    │    │    │    │</w:t>
            </w:r>
          </w:p>
          <w:p>
            <w:pPr>
              <w:keepNext/>
              <w:keepLines/>
              <w:spacing w:after="0" w:before="0" w:line="180"/>
              <w:jc w:val="left"/>
            </w:pPr>
            <w:r>
              <w:rPr>
                <w:rFonts w:ascii="Courier New" w:cs="Courier New" w:eastAsia="Courier New" w:hAnsi="Courier New"/>
                <w:sz w:val="17"/>
                <w:szCs w:val="17"/>
              </w:rPr>
              <w:t xml:space="preserve">Handoff + budget │    │    │    │    │    │████│    │    │    │    │</w:t>
            </w:r>
          </w:p>
          <w:p>
            <w:pPr>
              <w:keepNext/>
              <w:keepLines/>
              <w:spacing w:after="0" w:before="0" w:line="180"/>
              <w:jc w:val="left"/>
            </w:pPr>
            <w:r>
              <w:rPr>
                <w:rFonts w:ascii="Courier New" w:cs="Courier New" w:eastAsia="Courier New" w:hAnsi="Courier New"/>
                <w:sz w:val="17"/>
                <w:szCs w:val="17"/>
              </w:rPr>
              <w:t xml:space="preserve">Benchmark        │    │    │    │    │    │    │████│    │    │    │</w:t>
            </w:r>
          </w:p>
          <w:p>
            <w:pPr>
              <w:keepNext/>
              <w:keepLines/>
              <w:spacing w:after="0" w:before="0" w:line="180"/>
              <w:jc w:val="left"/>
            </w:pPr>
            <w:r>
              <w:rPr>
                <w:rFonts w:ascii="Courier New" w:cs="Courier New" w:eastAsia="Courier New" w:hAnsi="Courier New"/>
                <w:sz w:val="17"/>
                <w:szCs w:val="17"/>
              </w:rPr>
              <w:t xml:space="preserve">Interfaces       │    │    │    │    │    │    │    │████│    │    │</w:t>
            </w:r>
          </w:p>
          <w:p>
            <w:pPr>
              <w:keepNext/>
              <w:keepLines/>
              <w:spacing w:after="0" w:before="0" w:line="180"/>
              <w:jc w:val="left"/>
            </w:pPr>
            <w:r>
              <w:rPr>
                <w:rFonts w:ascii="Courier New" w:cs="Courier New" w:eastAsia="Courier New" w:hAnsi="Courier New"/>
                <w:sz w:val="17"/>
                <w:szCs w:val="17"/>
              </w:rPr>
              <w:t xml:space="preserve">Testing          │    │    │    │    │    │    │    │    │████│    │</w:t>
            </w:r>
          </w:p>
          <w:p>
            <w:pPr>
              <w:keepNext/>
              <w:keepLines/>
              <w:spacing w:after="0" w:before="0" w:line="180"/>
              <w:jc w:val="left"/>
            </w:pPr>
            <w:r>
              <w:rPr>
                <w:rFonts w:ascii="Courier New" w:cs="Courier New" w:eastAsia="Courier New" w:hAnsi="Courier New"/>
                <w:sz w:val="17"/>
                <w:szCs w:val="17"/>
              </w:rPr>
              <w:t xml:space="preserve">Documentation    │    │    │    │    │    │    │    │    │    │████│</w:t>
            </w:r>
          </w:p>
          <w:p>
            <w:pPr>
              <w:keepNext/>
              <w:keepLines/>
              <w:spacing w:after="0" w:before="0" w:line="180"/>
              <w:jc w:val="left"/>
            </w:pPr>
            <w:r>
              <w:rPr>
                <w:rFonts w:ascii="Courier New" w:cs="Courier New" w:eastAsia="Courier New" w:hAnsi="Courier New"/>
                <w:sz w:val="17"/>
                <w:szCs w:val="17"/>
              </w:rPr>
              <w:t xml:space="preserve">                 └────┴────┴────┴────┴────┴────┴────┴────┴────┴────┘</w:t>
            </w:r>
          </w:p>
          <w:p>
            <w:pPr>
              <w:keepNext/>
              <w:keepLines/>
              <w:spacing w:after="0" w:before="0" w:line="180"/>
              <w:jc w:val="left"/>
            </w:pPr>
            <w:r>
              <w:rPr>
                <w:rFonts w:ascii="Courier New" w:cs="Courier New" w:eastAsia="Courier New" w:hAnsi="Courier New"/>
                <w:sz w:val="17"/>
                <w:szCs w:val="17"/>
              </w:rPr>
              <w:t xml:space="preserve">                                 ^^^^^^^^^^^^^^  weeks 4-6: critical path</w:t>
            </w:r>
          </w:p>
        </w:tc>
      </w:tr>
    </w:tbl>
    <w:p>
      <w:pPr>
        <w:spacing w:after="160" w:before="80" w:line="240"/>
        <w:jc w:val="center"/>
      </w:pPr>
      <w:r>
        <w:rPr>
          <w:rFonts w:ascii="Times New Roman" w:cs="Times New Roman" w:eastAsia="Times New Roman" w:hAnsi="Times New Roman"/>
          <w:i/>
          <w:iCs/>
          <w:sz w:val="20"/>
          <w:szCs w:val="20"/>
        </w:rPr>
        <w:t xml:space="preserve">Figure 5.1: Schedule at a glance. Weeks 4–6 are the critical path; week 7 is a checkpoint, since a poor benchmark result forces a redesign before interfaces are built.</w:t>
      </w:r>
    </w:p>
    <w:p>
      <w:pPr>
        <w:pStyle w:val="Heading1"/>
        <w:pageBreakBefore/>
        <w:spacing w:after="160" w:before="0" w:line="360"/>
      </w:pPr>
      <w:r>
        <w:rPr>
          <w:rFonts w:ascii="Times New Roman" w:cs="Times New Roman" w:eastAsia="Times New Roman" w:hAnsi="Times New Roman"/>
          <w:b/>
          <w:bCs/>
          <w:sz w:val="30"/>
          <w:szCs w:val="30"/>
        </w:rPr>
        <w:t xml:space="preserve">6. Software / Hardware Required for the Development of the Project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software requirements are deliberately minimal. The system uses no third-party Python packages, so it installs by copying the source folder and runs with one command, removing dependency installation as a source of failure.</w:t>
      </w:r>
    </w:p>
    <w:p>
      <w:pPr>
        <w:spacing w:after="80" w:before="160" w:line="276"/>
        <w:jc w:val="center"/>
      </w:pPr>
      <w:r>
        <w:rPr>
          <w:rFonts w:ascii="Times New Roman" w:cs="Times New Roman" w:eastAsia="Times New Roman" w:hAnsi="Times New Roman"/>
          <w:i/>
          <w:iCs/>
          <w:sz w:val="22"/>
          <w:szCs w:val="22"/>
        </w:rPr>
        <w:t xml:space="preserve">Table 6.1: Software requirements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3000"/>
        <w:gridCol w:w="6780"/>
      </w:tblGrid>
      <w:tr>
        <w:trPr>
          <w:tblHeader/>
        </w:trPr>
        <w:tc>
          <w:tcPr>
            <w:tcW w:type="dxa" w:w="300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Category</w:t>
            </w:r>
          </w:p>
        </w:tc>
        <w:tc>
          <w:tcPr>
            <w:tcW w:type="dxa" w:w="678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Requirement</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Operating System</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Windows 11 for development; platform independent, also runs on Linux and macOS</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Programming Language</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Python 3.9 or later</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Database</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SQLite 3 with the FTS5 full-text extension (bundled with Python)</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Libraries</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Python standard library only: sqlite3, http.server, urllib, json, re. Optional: tiktoken</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Protocol</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Model Context Protocol, specification 2026-07-28, over stdio JSON-RPC</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IDE and Version Control</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Visual Studio Code; Git and GitHub</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Front End</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HTML5, CSS3 and vanilla JavaScript served locally; no build step, no external CDN</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External Services</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Free-tier APIs of Google Gemini, Groq, Cerebras, Mistral AI and Together AI</w:t>
            </w:r>
          </w:p>
        </w:tc>
      </w:tr>
      <w:tr>
        <w:trPr>
          <w:tblHeader w:val="false"/>
        </w:trPr>
        <w:tc>
          <w:tcPr>
            <w:tcW w:type="dxa" w:w="3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Browser</w:t>
            </w:r>
          </w:p>
        </w:tc>
        <w:tc>
          <w:tcPr>
            <w:tcW w:type="dxa" w:w="67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Chrome, Edge or Firefox, for the dashboard</w:t>
            </w:r>
          </w:p>
        </w:tc>
      </w:tr>
    </w:tbl>
    <w:p>
      <w:pPr>
        <w:spacing w:after="80" w:before="160" w:line="276"/>
        <w:jc w:val="center"/>
      </w:pPr>
      <w:r>
        <w:rPr>
          <w:rFonts w:ascii="Times New Roman" w:cs="Times New Roman" w:eastAsia="Times New Roman" w:hAnsi="Times New Roman"/>
          <w:i/>
          <w:iCs/>
          <w:sz w:val="22"/>
          <w:szCs w:val="22"/>
        </w:rPr>
        <w:t xml:space="preserve">Table 6.2: Hardware requirements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680"/>
      </w:tblGrid>
      <w:tr>
        <w:trPr>
          <w:tblHeader/>
        </w:trPr>
        <w:tc>
          <w:tcPr>
            <w:tcW w:type="dxa" w:w="220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Component</w:t>
            </w:r>
          </w:p>
        </w:tc>
        <w:tc>
          <w:tcPr>
            <w:tcW w:type="dxa" w:w="2900"/>
            <w:shd w:fill="D9D9D9"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Minimum</w:t>
            </w:r>
          </w:p>
        </w:tc>
        <w:tc>
          <w:tcPr>
            <w:tcW w:type="dxa" w:w="4680"/>
            <w:shd w:fill="D9D9D9"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2"/>
                <w:szCs w:val="22"/>
              </w:rPr>
              <w:t xml:space="preserve">Recommended</w:t>
            </w:r>
          </w:p>
        </w:tc>
      </w:tr>
      <w:tr>
        <w:trPr>
          <w:tblHeader w:val="false"/>
        </w:trPr>
        <w:tc>
          <w:tcPr>
            <w:tcW w:type="dxa" w:w="2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Processor</w:t>
            </w:r>
          </w:p>
        </w:tc>
        <w:tc>
          <w:tcPr>
            <w:tcW w:type="dxa" w:w="29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Dual-core, 2.0 GHz</w:t>
            </w:r>
          </w:p>
        </w:tc>
        <w:tc>
          <w:tcPr>
            <w:tcW w:type="dxa" w:w="46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Quad-core (Intel Core i5 / AMD Ryzen 5 or above)</w:t>
            </w:r>
          </w:p>
        </w:tc>
      </w:tr>
      <w:tr>
        <w:trPr>
          <w:tblHeader w:val="false"/>
        </w:trPr>
        <w:tc>
          <w:tcPr>
            <w:tcW w:type="dxa" w:w="2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RAM</w:t>
            </w:r>
          </w:p>
        </w:tc>
        <w:tc>
          <w:tcPr>
            <w:tcW w:type="dxa" w:w="29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4 GB</w:t>
            </w:r>
          </w:p>
        </w:tc>
        <w:tc>
          <w:tcPr>
            <w:tcW w:type="dxa" w:w="46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8 GB or more</w:t>
            </w:r>
          </w:p>
        </w:tc>
      </w:tr>
      <w:tr>
        <w:trPr>
          <w:tblHeader w:val="false"/>
        </w:trPr>
        <w:tc>
          <w:tcPr>
            <w:tcW w:type="dxa" w:w="2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Storage</w:t>
            </w:r>
          </w:p>
        </w:tc>
        <w:tc>
          <w:tcPr>
            <w:tcW w:type="dxa" w:w="29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500 MB free</w:t>
            </w:r>
          </w:p>
        </w:tc>
        <w:tc>
          <w:tcPr>
            <w:tcW w:type="dxa" w:w="46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2 GB free</w:t>
            </w:r>
          </w:p>
        </w:tc>
      </w:tr>
      <w:tr>
        <w:trPr>
          <w:tblHeader w:val="false"/>
        </w:trPr>
        <w:tc>
          <w:tcPr>
            <w:tcW w:type="dxa" w:w="2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Display</w:t>
            </w:r>
          </w:p>
        </w:tc>
        <w:tc>
          <w:tcPr>
            <w:tcW w:type="dxa" w:w="29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1366 × 768</w:t>
            </w:r>
          </w:p>
        </w:tc>
        <w:tc>
          <w:tcPr>
            <w:tcW w:type="dxa" w:w="46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1920 × 1080</w:t>
            </w:r>
          </w:p>
        </w:tc>
      </w:tr>
      <w:tr>
        <w:trPr>
          <w:tblHeader w:val="false"/>
        </w:trPr>
        <w:tc>
          <w:tcPr>
            <w:tcW w:type="dxa" w:w="22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Network</w:t>
            </w:r>
          </w:p>
        </w:tc>
        <w:tc>
          <w:tcPr>
            <w:tcW w:type="dxa" w:w="29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Needed only for live provider evaluation</w:t>
            </w:r>
          </w:p>
        </w:tc>
        <w:tc>
          <w:tcPr>
            <w:tcW w:type="dxa" w:w="468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Stable broadband</w:t>
            </w:r>
          </w:p>
        </w:tc>
      </w:tr>
    </w:tbl>
    <w:p>
      <w:pPr>
        <w:spacing w:after="120" w:before="140" w:line="360"/>
        <w:jc w:val="both"/>
      </w:pPr>
      <w:r>
        <w:rPr>
          <w:rFonts w:ascii="Times New Roman" w:cs="Times New Roman" w:eastAsia="Times New Roman" w:hAnsi="Times New Roman"/>
          <w:b w:val="false"/>
          <w:bCs w:val="false"/>
          <w:i w:val="false"/>
          <w:iCs w:val="false"/>
          <w:sz w:val="22"/>
          <w:szCs w:val="22"/>
        </w:rPr>
        <w:t xml:space="preserve">The processing load is light: the store is an on-disk SQLite database and retrieval is lexical, so no graphics processing unit and no dedicated server are needed. Network access is required only when the cross-model evaluation runs against live provider APIs.</w:t>
      </w:r>
    </w:p>
    <w:p>
      <w:pPr>
        <w:pStyle w:val="Heading1"/>
        <w:pageBreakBefore/>
        <w:spacing w:after="160" w:before="0" w:line="360"/>
      </w:pPr>
      <w:r>
        <w:rPr>
          <w:rFonts w:ascii="Times New Roman" w:cs="Times New Roman" w:eastAsia="Times New Roman" w:hAnsi="Times New Roman"/>
          <w:b/>
          <w:bCs/>
          <w:sz w:val="30"/>
          <w:szCs w:val="30"/>
        </w:rPr>
        <w:t xml:space="preserve">7. References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References are listed in alphabetical order. All sources cited in the body of this synopsis appear below; for online sources the website URL and the date of access are given.</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Anthropic, “Model Context Protocol Specification, Version 2026-07-28,” 2026. Website URL: https://modelcontextprotocol.io/specification/2026-07-28 (accessed 13 September 2026).</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Groq, Inc., “GroqCloud Supported Models,” 2026. Website URL: https://console.groq.com/docs/models (accessed 13 September 2026).</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“Mem0: Building Production-Ready AI Agents with Scalable Long-Term Memory,” arXiv preprint arXiv:2504.19413, 2025. Website URL: https://arxiv.org/abs/2504.19413 (accessed 13 September 2026).</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Packer, C., Fang, V., et al., “MemGPT: Towards LLMs as Operating Systems,” arXiv preprint arXiv:2310.08560, 2023. Website URL: https://arxiv.org/abs/2310.08560 (accessed 13 September 2026).</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Rasmussen, P., et al., “Zep: A Temporal Knowledge Graph Architecture for Agent Memory,” arXiv preprint arXiv:2501.13956, 2025. Website URL: https://arxiv.org/abs/2501.13956 (accessed 13 September 2026).</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Robertson, S. and Zaragoza, H., “The Probabilistic Relevance Framework: BM25 and Beyond,” Foundations and Trends in Information Retrieval, Vol. 3, No. 4, pp. 333–389, 2009.</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“Specification Portability Across LLM Development Agents: Cross-Agent Compatibility in Specification-Driven Software Migration,” arXiv preprint arXiv:2608.21208, 2026. Website URL: https://arxiv.org/abs/2608.21208 (accessed 13 September 2026).</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SQLite Consortium, “SQLite FTS5 Extension Documentation,” 2026. Website URL: https://www.sqlite.org/fts5.html (accessed 13 September 2026).</w:t>
      </w:r>
    </w:p>
    <w:p>
      <w:pPr>
        <w:pStyle w:val="ListParagraph"/>
        <w:numPr>
          <w:ilvl w:val="0"/>
          <w:numId w:val="4"/>
        </w:numPr>
        <w:spacing w:after="100" w:line="360"/>
        <w:jc w:val="both"/>
      </w:pPr>
      <w:r>
        <w:rPr>
          <w:rFonts w:ascii="Times New Roman" w:cs="Times New Roman" w:eastAsia="Times New Roman" w:hAnsi="Times New Roman"/>
          <w:sz w:val="22"/>
          <w:szCs w:val="22"/>
        </w:rPr>
        <w:t xml:space="preserve">“The Handoff Tax: Continuing Non-Native Trajectories in LLM Agents,” arXiv preprint arXiv:2608.24358, 2026. Website URL: https://arxiv.org/abs/2608.24358 (accessed 13 September 2026).</w:t>
      </w:r>
    </w:p>
    <w:sectPr>
      <w:footerReference w:type="default" r:id="rId7"/>
      <w:pgSz w:w="11906" w:h="16838" w:orient="portrait"/>
      <w:pgMar w:top="1417" w:right="709" w:bottom="709"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56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60" w:line="36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00" w:line="360"/>
    </w:pPr>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ContextOS: An Addressable Context Layer for Cross-Model Handoffs in AI Agents</dc:title>
  <dc:creator>Nilansh Pratap Anand</dc:creator>
  <dc:description>Mini Project Synopsis</dc:description>
  <cp:lastModifiedBy>Un-named</cp:lastModifiedBy>
  <cp:revision>1</cp:revision>
  <dcterms:created xsi:type="dcterms:W3CDTF">2026-09-13T15:59:00.411Z</dcterms:created>
  <dcterms:modified xsi:type="dcterms:W3CDTF">2026-09-13T15:59:00.411Z</dcterms:modified>
</cp:coreProperties>
</file>

<file path=docProps/custom.xml><?xml version="1.0" encoding="utf-8"?>
<Properties xmlns="http://schemas.openxmlformats.org/officeDocument/2006/custom-properties" xmlns:vt="http://schemas.openxmlformats.org/officeDocument/2006/docPropsVTypes"/>
</file>