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70.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Multi-Output Surrogate Modeling Framework for Scenario-Based Maritime and Border Logistics Under Brexit Constraints</w:t>
      </w:r>
    </w:p>
    <w:p>
      <w:pPr>
        <w:pStyle w:val="Author"/>
      </w:pPr>
      <w:r>
        <w:rPr>
          <w:b/>
          <w:bCs/>
        </w:rPr>
        <w:t xml:space="preserve">Sakshi Dhamane</w:t>
      </w:r>
      <w:r>
        <w:t xml:space="preserve"> </w:t>
      </w:r>
      <w:r>
        <w:rPr>
          <w:b/>
          <w:bCs/>
        </w:rPr>
        <w:t xml:space="preserve">Iniyanila Gnanasekar</w:t>
      </w:r>
      <w:r>
        <w:t xml:space="preserve"> </w:t>
      </w:r>
      <w:r>
        <w:rPr>
          <w:b/>
          <w:bCs/>
        </w:rPr>
        <w:t xml:space="preserve">Uthara Prarath</w:t>
      </w:r>
      <w:r>
        <w:br/>
      </w:r>
      <w:r>
        <w:t xml:space="preserve">Maynooth University, Kildare, Ireland</w:t>
      </w:r>
      <w:r>
        <w:br/>
      </w:r>
    </w:p>
    <w:bookmarkStart w:id="9" w:name="abstract"/>
    <w:p>
      <w:pPr>
        <w:pStyle w:val="Heading1"/>
      </w:pPr>
      <w:r>
        <w:t xml:space="preserve">Abstract</w:t>
      </w:r>
    </w:p>
    <w:p>
      <w:pPr>
        <w:pStyle w:val="FirstParagraph"/>
      </w:pPr>
      <w:r>
        <w:t xml:space="preserve">We present a practical human-interactive machine learning framework for scenario-based prediction in cross-border logistics systems, targeting post-Brexit implications on the Irish agri-food exports in Ireland-GB-EU freight operations.AnyLogic Cloud simulation supports credible what-if analysis but imposes high adoption friction (</w:t>
      </w:r>
      <m:oMath>
        <m:r>
          <m:rPr>
            <m:sty m:val="p"/>
          </m:rPr>
          <m:t>∼</m:t>
        </m:r>
      </m:oMath>
      <w:r>
        <w:t xml:space="preserve">157 parameters,</w:t>
      </w:r>
      <w:r>
        <w:t xml:space="preserve"> </w:t>
      </w:r>
      <m:oMath>
        <m:r>
          <m:rPr>
            <m:sty m:val="p"/>
          </m:rPr>
          <m:t>∼</m:t>
        </m:r>
      </m:oMath>
      <w:r>
        <w:t xml:space="preserve">EUR 2</w:t>
      </w:r>
      <w:r>
        <w:t xml:space="preserve">,</w:t>
      </w:r>
      <w:r>
        <w:t xml:space="preserve">520 annual API subscription) for non-expert managers. We learn</w:t>
      </w:r>
      <w:r>
        <w:t xml:space="preserve"> </w:t>
      </w:r>
      <w:r>
        <w:rPr>
          <w:i/>
          <w:iCs/>
        </w:rPr>
        <w:t xml:space="preserve">surrogate regressors</w:t>
      </w:r>
      <w:r>
        <w:t xml:space="preserve"> </w:t>
      </w:r>
      <w:r>
        <w:t xml:space="preserve">nearly orthogonal Latin hypercube design (NOLHC) dataset having correlations between the columns in the design matrix that are in the interval of (-0.3, 0.3), The design maps (</w:t>
      </w:r>
      <m:oMath>
        <m:r>
          <m:t>n</m:t>
        </m:r>
        <m:r>
          <m:rPr>
            <m:sty m:val="p"/>
          </m:rPr>
          <m:t>=</m:t>
        </m:r>
        <m:r>
          <m:t>129</m:t>
        </m:r>
      </m:oMath>
      <w:r>
        <w:t xml:space="preserve">,</w:t>
      </w:r>
      <w:r>
        <w:t xml:space="preserve"> </w:t>
      </w:r>
      <m:oMath>
        <m:r>
          <m:t>d</m:t>
        </m:r>
        <m:r>
          <m:rPr>
            <m:sty m:val="p"/>
          </m:rPr>
          <m:t>=</m:t>
        </m:r>
        <m:r>
          <m:t>35</m:t>
        </m:r>
      </m:oMath>
      <w:r>
        <w:t xml:space="preserve">,</w:t>
      </w:r>
      <w:r>
        <w:t xml:space="preserve"> </w:t>
      </w:r>
      <m:oMath>
        <m:r>
          <m:t>K</m:t>
        </m:r>
        <m:r>
          <m:rPr>
            <m:sty m:val="p"/>
          </m:rPr>
          <m:t>=</m:t>
        </m:r>
        <m:r>
          <m:t>20</m:t>
        </m:r>
      </m:oMath>
      <w:r>
        <w:t xml:space="preserve">) and deploy a human-on-the-loop</w:t>
      </w:r>
      <w:r>
        <w:t xml:space="preserve"> </w:t>
      </w:r>
      <w:r>
        <w:rPr>
          <w:i/>
          <w:iCs/>
        </w:rPr>
        <w:t xml:space="preserve">Decision Intelligence</w:t>
      </w:r>
      <w:r>
        <w:t xml:space="preserve"> </w:t>
      </w:r>
      <w:r>
        <w:t xml:space="preserve">web UI with millisecond inference. To handle heterogeneous output behavior under small-sample conditions (129 design rows), we perform per-target model selection across a diverse candidate set including linear, kernel, tree-based, and boosting regressors. The pipeline uses an 80/20 train-hold-out split, repeated 10-fold CV on the training pool only, paired</w:t>
      </w:r>
      <w:r>
        <w:t xml:space="preserve"> </w:t>
      </w:r>
      <m:oMath>
        <m:r>
          <m:t>t</m:t>
        </m:r>
      </m:oMath>
      <w:r>
        <w:t xml:space="preserve">-tests and Friedman/Nemenyi diagnostics across 19 model families, SHAP explainability before final sign-off, and conformal-style uncertainty bands. We integrate SHAP-based attribution for model-level interpretability and expose the full stack in an interactive decision interface that supports route and border-policy interventions with conformal prediction range. Hold-out validation improves over mean/OLS baselines on 19/20 targets (exception:</w:t>
      </w:r>
      <w:r>
        <w:t xml:space="preserve"> </w:t>
      </w:r>
      <w:r>
        <w:rPr>
          <w:rStyle w:val="VerbatimChar"/>
        </w:rPr>
        <w:t xml:space="preserve">Waiting Time Inbound Non Agri Rosslare</w:t>
      </w:r>
      <w:r>
        <w:t xml:space="preserve">,</w:t>
      </w:r>
      <w:r>
        <w:t xml:space="preserve"> </w:t>
      </w:r>
      <m:oMath>
        <m:r>
          <m:rPr>
            <m:sty m:val="p"/>
          </m:rPr>
          <m:t>−</m:t>
        </m:r>
        <m:r>
          <m:t>0.6</m:t>
        </m:r>
        <m:r>
          <m:rPr>
            <m:sty m:val="p"/>
          </m:rPr>
          <m:t>%</m:t>
        </m:r>
      </m:oMath>
      <w:r>
        <w:t xml:space="preserve">), with largest gains on agri transit-time KPIs (</w:t>
      </w:r>
      <m:oMath>
        <m:r>
          <m:rPr>
            <m:sty m:val="p"/>
          </m:rPr>
          <m:t>∼</m:t>
        </m:r>
      </m:oMath>
      <w:r>
        <w:t xml:space="preserve">74–79% RMSE reduction)</w:t>
      </w:r>
      <m:oMath>
        <m:sSup>
          <m:e>
            <m:r>
              <m:t>R</m:t>
            </m:r>
          </m:e>
          <m:sup>
            <m:r>
              <m:t>2</m:t>
            </m:r>
          </m:sup>
        </m:sSup>
        <m:r>
          <m:rPr>
            <m:sty m:val="p"/>
          </m:rPr>
          <m:t>=</m:t>
        </m:r>
        <m:r>
          <m:t>0.821</m:t>
        </m:r>
      </m:oMath>
      <w:r>
        <w:t xml:space="preserve"> </w:t>
      </w:r>
      <w:r>
        <w:t xml:space="preserve">(mean</w:t>
      </w:r>
      <w:r>
        <w:t xml:space="preserve"> </w:t>
      </w:r>
      <m:oMath>
        <m:sSup>
          <m:e>
            <m:r>
              <m:t>R</m:t>
            </m:r>
          </m:e>
          <m:sup>
            <m:r>
              <m:t>2</m:t>
            </m:r>
          </m:sup>
        </m:sSup>
        <m:r>
          <m:rPr>
            <m:sty m:val="p"/>
          </m:rPr>
          <m:t>=</m:t>
        </m:r>
        <m:r>
          <m:t>0.735</m:t>
        </m:r>
      </m:oMath>
      <w:r>
        <w:t xml:space="preserve">), with strong performance on most targets and clear diagnostics on failure cases.We discuss small-</w:t>
      </w:r>
      <m:oMath>
        <m:r>
          <m:t>n</m:t>
        </m:r>
      </m:oMath>
      <w:r>
        <w:t xml:space="preserve"> </w:t>
      </w:r>
      <w:r>
        <w:t xml:space="preserve">extrapolation risk, non-causal SHAP, and governance constraints for port-stakeholder review. The result is a transparent, deployment-ready surrogate modelling pipeline for policy stress-testing in freight systems with limited labelled data.</w:t>
      </w:r>
    </w:p>
    <w:bookmarkEnd w:id="9"/>
    <w:bookmarkStart w:id="11" w:name="introduction"/>
    <w:p>
      <w:pPr>
        <w:pStyle w:val="Heading1"/>
      </w:pPr>
      <w:r>
        <w:t xml:space="preserve">Introduction</w:t>
      </w:r>
    </w:p>
    <w:p>
      <w:pPr>
        <w:pStyle w:val="FirstParagraph"/>
      </w:pPr>
      <w:r>
        <w:t xml:space="preserve">Brexit shifted Irish agri-food logistics from barrier-free movement to a high-intervention border regime with mandatory customs and SPS protocols, increasing delivery times and administrative burden</w:t>
      </w:r>
      <w:r>
        <w:t xml:space="preserve"> </w:t>
      </w:r>
      <w:r>
        <w:t xml:space="preserve">(</w:t>
      </w:r>
      <w:r>
        <w:t xml:space="preserve">Mahfouz et al.</w:t>
      </w:r>
      <w:r>
        <w:t xml:space="preserve"> </w:t>
      </w:r>
      <w:r>
        <w:t xml:space="preserve">2019, 2020)</w:t>
      </w:r>
      <w:r>
        <w:t xml:space="preserve">.When the UK landbridge incurs delays and border friction, operators redirect capacity to direct maritime corridors (e.g. Rosslare–Cherbourg), changing the feasible set of route and staffing policies</w:t>
      </w:r>
      <w:r>
        <w:t xml:space="preserve"> </w:t>
      </w:r>
      <w:r>
        <w:t xml:space="preserve">(Copenhagen Economics 2018; Ivanov et al. 2025)</w:t>
      </w:r>
      <w:r>
        <w:t xml:space="preserve">.Stakeholders must evaluate post-Brexit models under varying border-control and staffing assumptions at Dublin and Rosslare—comparing landbridge vs. direct EU routes while tracking KPIs (transit times, waiting times, customs/DAFM utilisation, queue lengths).Agent-based simulation (AnyLogic) remains the ground-truth engine but is ill-suited to iterative workshops: the cloud model exposes</w:t>
      </w:r>
      <w:r>
        <w:t xml:space="preserve"> </w:t>
      </w:r>
      <m:oMath>
        <m:r>
          <m:rPr>
            <m:sty m:val="p"/>
          </m:rPr>
          <m:t>∼</m:t>
        </m:r>
      </m:oMath>
      <w:r>
        <w:t xml:space="preserve">157 inputs, and API access carries substantial subscription cost; practitioners without deep simulation expertise struggle to set inspection rates and resource allocations</w:t>
      </w:r>
      <w:r>
        <w:t xml:space="preserve"> </w:t>
      </w:r>
      <w:r>
        <w:t xml:space="preserve">(Byrne et al. 2009;</w:t>
      </w:r>
      <w:r>
        <w:t xml:space="preserve"> </w:t>
      </w:r>
      <w:r>
        <w:t xml:space="preserve">Amroune et al.</w:t>
      </w:r>
      <w:r>
        <w:t xml:space="preserve"> </w:t>
      </w:r>
      <w:r>
        <w:t xml:space="preserve">2019)</w:t>
      </w:r>
      <w:r>
        <w:t xml:space="preserve">.Initially we tried to adopt the dataset from the AnyLogic simulation runs; by analysing the dataset, many of the parameters are zero-inflated values because the simulation is scenario-based. To overcome this We propose an ML-driven web UI trained on NOLHC simulation runs</w:t>
      </w:r>
      <w:r>
        <w:t xml:space="preserve"> </w:t>
      </w:r>
      <w:r>
        <w:t xml:space="preserve">(Cioppa and Lucas 2007; Viana 2016; Bogoclu et al. 2021)</w:t>
      </w:r>
      <w:r>
        <w:t xml:space="preserve">, delivering near real-time KPI prediction with reduced parameter complexity.</w:t>
      </w:r>
      <w:r>
        <w:t xml:space="preserve"> </w:t>
      </w:r>
      <w:r>
        <w:t xml:space="preserve">The system follows a</w:t>
      </w:r>
      <w:r>
        <w:t xml:space="preserve"> </w:t>
      </w:r>
      <w:r>
        <w:rPr>
          <w:i/>
          <w:iCs/>
        </w:rPr>
        <w:t xml:space="preserve">human-on-the-loop</w:t>
      </w:r>
      <w:r>
        <w:t xml:space="preserve"> </w:t>
      </w:r>
      <w:r>
        <w:t xml:space="preserve">protocol: surrogates accelerate</w:t>
      </w:r>
      <w:r>
        <w:t xml:space="preserve"> </w:t>
      </w:r>
      <w:r>
        <w:t xml:space="preserve">“if-then”</w:t>
      </w:r>
      <w:r>
        <w:t xml:space="preserve"> </w:t>
      </w:r>
      <w:r>
        <w:t xml:space="preserve">exploration while domain experts retain authority over scenario assumptions and metric interpretation.</w:t>
      </w:r>
    </w:p>
    <w:bookmarkStart w:id="10" w:name="prototype-expectations."/>
    <w:p>
      <w:pPr>
        <w:pStyle w:val="Heading4"/>
      </w:pPr>
      <w:r>
        <w:t xml:space="preserve">Prototype expectations.</w:t>
      </w:r>
    </w:p>
    <w:p>
      <w:pPr>
        <w:pStyle w:val="FirstParagraph"/>
      </w:pPr>
      <w:r>
        <w:t xml:space="preserve">The delivered prototype must (i) visualise simulation outcomes for non-experts, (ii) provide hold-out-validated surrogates per KPI, (iii) quantify uncertainty via interval outputs, and (iv) communicate drivers via SHAP and persona-based attribution in the UI decision layer.</w:t>
      </w:r>
    </w:p>
    <w:p>
      <w:pPr>
        <w:pStyle w:val="BodyText"/>
      </w:pPr>
      <w:r>
        <w:t xml:space="preserve">A credible artifact additionally requires:</w:t>
      </w:r>
      <w:r>
        <w:t xml:space="preserve"> </w:t>
      </w:r>
      <w:r>
        <w:t xml:space="preserve">(i) rigorous model comparison and held-out evaluation,</w:t>
      </w:r>
      <w:r>
        <w:t xml:space="preserve"> </w:t>
      </w:r>
      <w:r>
        <w:t xml:space="preserve">(ii) explainability tied to the selected model per output,</w:t>
      </w:r>
      <w:r>
        <w:t xml:space="preserve"> </w:t>
      </w:r>
      <w:r>
        <w:t xml:space="preserve">(iii) scenario governance preventing implausible inputs, and</w:t>
      </w:r>
      <w:r>
        <w:t xml:space="preserve"> </w:t>
      </w:r>
      <w:r>
        <w:t xml:space="preserve">(iv) reproducible packaging for independent review.</w:t>
      </w:r>
    </w:p>
    <w:p>
      <w:pPr>
        <w:pStyle w:val="BodyText"/>
      </w:pPr>
      <w:r>
        <w:t xml:space="preserve">This setting has three key challenges: (i) multi-output heterogeneity (20 targets with distinct noise scales and dynamics), (ii) low-data regime (</w:t>
      </w:r>
      <m:oMath>
        <m:r>
          <m:t>n</m:t>
        </m:r>
        <m:r>
          <m:rPr>
            <m:sty m:val="p"/>
          </m:rPr>
          <m:t>=</m:t>
        </m:r>
        <m:r>
          <m:t>129</m:t>
        </m:r>
      </m:oMath>
      <w:r>
        <w:t xml:space="preserve">), and (iii) need for interpretable and uncertainty-aware outputs suitable for operational decision support.</w:t>
      </w:r>
    </w:p>
    <w:p>
      <w:pPr>
        <w:numPr>
          <w:ilvl w:val="0"/>
          <w:numId w:val="1001"/>
        </w:numPr>
      </w:pPr>
      <w:r>
        <w:t xml:space="preserve">We formulate multi-output post-Brexit RoRo logistics prediction as supervised learning surrogate model from a 129-run NOLHC design with explicit output-domain constraints at deployment.</w:t>
      </w:r>
    </w:p>
    <w:p>
      <w:pPr>
        <w:numPr>
          <w:ilvl w:val="0"/>
          <w:numId w:val="1001"/>
        </w:numPr>
      </w:pPr>
      <w:r>
        <w:t xml:space="preserve">We implement an end-to-end experimental protocol: repeated CV on the training pool only, paired</w:t>
      </w:r>
      <w:r>
        <w:t xml:space="preserve"> </w:t>
      </w:r>
      <m:oMath>
        <m:r>
          <m:t>t</m:t>
        </m:r>
      </m:oMath>
      <w:r>
        <w:t xml:space="preserve">-tests on matched fold errors, mentor-requested Friedman/Nemenyi diagnostics, pre-conformal checkpoints, SHAP before final hold-out sign-off, and composite model selection for reporting</w:t>
      </w:r>
      <w:r>
        <w:t xml:space="preserve"> </w:t>
      </w:r>
      <w:r>
        <w:t xml:space="preserve">(Vovk et al. 2005; Angelopoulos and Bates 2021)</w:t>
      </w:r>
      <w:r>
        <w:t xml:space="preserve">, and explainability for governance using SHAP attribution layer</w:t>
      </w:r>
      <w:r>
        <w:t xml:space="preserve">(Lundberg and Lee 2017)</w:t>
      </w:r>
      <w:r>
        <w:t xml:space="preserve">.</w:t>
      </w:r>
    </w:p>
    <w:p>
      <w:pPr>
        <w:numPr>
          <w:ilvl w:val="0"/>
          <w:numId w:val="1001"/>
        </w:numPr>
      </w:pPr>
      <w:r>
        <w:t xml:space="preserve">We deliver an integrated</w:t>
      </w:r>
      <w:r>
        <w:t xml:space="preserve"> </w:t>
      </w:r>
      <w:r>
        <w:rPr>
          <w:b/>
          <w:bCs/>
        </w:rPr>
        <w:t xml:space="preserve">human-facing decision intelligence</w:t>
      </w:r>
      <w:r>
        <w:t xml:space="preserve"> </w:t>
      </w:r>
      <w:r>
        <w:t xml:space="preserve">web UI with scenario policy locks, real-time inference, SHAP driver panels with per-target selection across all 20 outputs, and reliability guardrails (clipping, input realism checks).</w:t>
      </w:r>
    </w:p>
    <w:bookmarkEnd w:id="10"/>
    <w:bookmarkEnd w:id="11"/>
    <w:bookmarkStart w:id="22" w:name="sec:Problem"/>
    <w:p>
      <w:pPr>
        <w:pStyle w:val="Heading1"/>
      </w:pPr>
      <w:r>
        <w:t xml:space="preserve">Problem Formulation</w:t>
      </w:r>
    </w:p>
    <w:p>
      <w:pPr>
        <w:pStyle w:val="FirstParagraph"/>
      </w:pPr>
      <w:r>
        <w:t xml:space="preserve">Let</w:t>
      </w:r>
      <w:r>
        <w:t xml:space="preserve"> </w:t>
      </w:r>
      <m:oMath>
        <m:r>
          <m:t>x</m:t>
        </m:r>
        <m:r>
          <m:rPr>
            <m:sty m:val="p"/>
          </m:rPr>
          <m:t>∈</m:t>
        </m:r>
        <m:sSup>
          <m:e>
            <m:r>
              <m:rPr>
                <m:scr m:val="double-struck"/>
                <m:sty m:val="p"/>
              </m:rPr>
              <m:t>R</m:t>
            </m:r>
          </m:e>
          <m:sup>
            <m:r>
              <m:t>35</m:t>
            </m:r>
          </m:sup>
        </m:sSup>
      </m:oMath>
      <w:r>
        <w:t xml:space="preserve"> </w:t>
      </w:r>
      <w:r>
        <w:t xml:space="preserve">denote logistics and border-operation inputs (trade volumes, route capacities, check durations, staffing, and inspection proportions). Let</w:t>
      </w:r>
      <w:r>
        <w:t xml:space="preserve"> </w:t>
      </w:r>
      <m:oMath>
        <m:r>
          <m:t>y</m:t>
        </m:r>
        <m:r>
          <m:rPr>
            <m:sty m:val="p"/>
          </m:rPr>
          <m:t>∈</m:t>
        </m:r>
        <m:sSup>
          <m:e>
            <m:r>
              <m:rPr>
                <m:scr m:val="double-struck"/>
                <m:sty m:val="p"/>
              </m:rPr>
              <m:t>R</m:t>
            </m:r>
          </m:e>
          <m:sup>
            <m:r>
              <m:t>20</m:t>
            </m:r>
          </m:sup>
        </m:sSup>
      </m:oMath>
      <w:r>
        <w:t xml:space="preserve"> </w:t>
      </w:r>
      <w:r>
        <w:t xml:space="preserve">denote output KPIs (transport times, waiting times, and utilization fractions).</w:t>
      </w:r>
    </w:p>
    <w:bookmarkStart w:id="14" w:name="problem-setup"/>
    <w:p>
      <w:pPr>
        <w:pStyle w:val="Heading2"/>
      </w:pPr>
      <w:r>
        <w:t xml:space="preserve">Problem Setup</w:t>
      </w:r>
    </w:p>
    <w:p>
      <w:pPr>
        <w:pStyle w:val="FirstParagraph"/>
      </w:pPr>
      <w:r>
        <w:t xml:space="preserve">We model post-Brexit freight-system behavior as a multi-output supervised regression task. Let</w:t>
      </w:r>
      <w:r>
        <w:t xml:space="preserve"> </w:t>
      </w:r>
      <m:oMath>
        <m:r>
          <m:t>x</m:t>
        </m:r>
        <m:r>
          <m:rPr>
            <m:sty m:val="p"/>
          </m:rPr>
          <m:t>∈</m:t>
        </m:r>
        <m:sSup>
          <m:e>
            <m:r>
              <m:rPr>
                <m:scr m:val="double-struck"/>
                <m:sty m:val="p"/>
              </m:rPr>
              <m:t>R</m:t>
            </m:r>
          </m:e>
          <m:sup>
            <m:r>
              <m:t>35</m:t>
            </m:r>
          </m:sup>
        </m:sSup>
      </m:oMath>
      <w:r>
        <w:t xml:space="preserve"> </w:t>
      </w:r>
      <w:r>
        <w:t xml:space="preserve">denote operational inputs (trade volumes, route allocations, capacities, check durations, staffing, and inspection proportions), and let</w:t>
      </w:r>
      <w:r>
        <w:t xml:space="preserve"> </w:t>
      </w:r>
      <m:oMath>
        <m:r>
          <m:t>y</m:t>
        </m:r>
        <m:r>
          <m:rPr>
            <m:sty m:val="p"/>
          </m:rPr>
          <m:t>∈</m:t>
        </m:r>
        <m:sSup>
          <m:e>
            <m:r>
              <m:rPr>
                <m:scr m:val="double-struck"/>
                <m:sty m:val="p"/>
              </m:rPr>
              <m:t>R</m:t>
            </m:r>
          </m:e>
          <m:sup>
            <m:r>
              <m:t>20</m:t>
            </m:r>
          </m:sup>
        </m:sSup>
      </m:oMath>
      <w:r>
        <w:t xml:space="preserve"> </w:t>
      </w:r>
      <w:r>
        <w:t xml:space="preserve">denote target KPIs (transport times, waiting times, and resource utilization). We train one predictor per target,</w:t>
      </w:r>
    </w:p>
    <w:p>
      <w:pPr>
        <w:pStyle w:val="BodyText"/>
      </w:pPr>
      <m:oMathPara>
        <m:oMathParaPr>
          <m:jc m:val="center"/>
        </m:oMathParaPr>
        <m:oMath>
          <m:sSub>
            <m:e>
              <m:r>
                <m:t>f</m:t>
              </m:r>
            </m:e>
            <m:sub>
              <m:r>
                <m:t>t</m:t>
              </m:r>
            </m:sub>
          </m:sSub>
          <m:r>
            <m:rPr>
              <m:sty m:val="p"/>
            </m:rPr>
            <m:t>:</m:t>
          </m:r>
          <m:sSup>
            <m:e>
              <m:r>
                <m:rPr>
                  <m:scr m:val="double-struck"/>
                  <m:sty m:val="p"/>
                </m:rPr>
                <m:t>R</m:t>
              </m:r>
            </m:e>
            <m:sup>
              <m:r>
                <m:t>35</m:t>
              </m:r>
            </m:sup>
          </m:sSup>
          <m:r>
            <m:rPr>
              <m:sty m:val="p"/>
            </m:rPr>
            <m:t>→</m:t>
          </m:r>
          <m:r>
            <m:rPr>
              <m:scr m:val="double-struck"/>
              <m:sty m:val="p"/>
            </m:rPr>
            <m:t>R</m:t>
          </m:r>
          <m:r>
            <m:rPr>
              <m:sty m:val="p"/>
            </m:rPr>
            <m:t>,</m:t>
          </m:r>
          <m:r>
            <m:t> </m:t>
          </m:r>
          <m:r>
            <m:t>t</m:t>
          </m:r>
          <m:r>
            <m:rPr>
              <m:sty m:val="p"/>
            </m:rPr>
            <m:t>=</m:t>
          </m:r>
          <m:r>
            <m:t>1</m:t>
          </m:r>
          <m:r>
            <m:rPr>
              <m:sty m:val="p"/>
            </m:rPr>
            <m:t>,</m:t>
          </m:r>
          <m:r>
            <m:rPr>
              <m:sty m:val="p"/>
            </m:rPr>
            <m:t>…</m:t>
          </m:r>
          <m:r>
            <m:rPr>
              <m:sty m:val="p"/>
            </m:rPr>
            <m:t>,</m:t>
          </m:r>
          <m:r>
            <m:t>20</m:t>
          </m:r>
          <m:r>
            <m:rPr>
              <m:sty m:val="p"/>
            </m:rPr>
            <m:t>,</m:t>
          </m:r>
        </m:oMath>
      </m:oMathPara>
    </w:p>
    <w:p>
      <w:pPr>
        <w:pStyle w:val="FirstParagraph"/>
      </w:pPr>
      <w:r>
        <w:t xml:space="preserve">with target-specific model class and hyperparameters selected from a shared candidate pool. Inference returns point predictions, uncertainty intervals, and scenario deltas versus baseline.</w:t>
      </w:r>
    </w:p>
    <w:bookmarkStart w:id="12" w:name="inputs."/>
    <w:p>
      <w:pPr>
        <w:pStyle w:val="Heading4"/>
      </w:pPr>
      <w:r>
        <w:t xml:space="preserve">Inputs.</w:t>
      </w:r>
    </w:p>
    <w:p>
      <w:pPr>
        <w:pStyle w:val="FirstParagraph"/>
      </w:pPr>
      <w:r>
        <w:t xml:space="preserve">Features include trade volumes (tonnes), landbridge/direct route volumes, vessel capacities, check times, resource counts (customs sheds, DAFM bays), and route-mix fractions (green/red/pre-boarding shares).</w:t>
      </w:r>
    </w:p>
    <w:bookmarkEnd w:id="12"/>
    <w:bookmarkStart w:id="13" w:name="outputs."/>
    <w:p>
      <w:pPr>
        <w:pStyle w:val="Heading4"/>
      </w:pPr>
      <w:r>
        <w:t xml:space="preserve">Outputs.</w:t>
      </w:r>
    </w:p>
    <w:p>
      <w:pPr>
        <w:pStyle w:val="FirstParagraph"/>
      </w:pPr>
      <w:r>
        <w:t xml:space="preserve">Targets span agri/non-agri waiting and transit times, landbridge and direct-route performance, and customs/DAFM utilisation at Dublin and Rosslare (see project crosswalk tables).</w:t>
      </w:r>
    </w:p>
    <w:bookmarkEnd w:id="13"/>
    <w:bookmarkEnd w:id="14"/>
    <w:bookmarkStart w:id="15" w:name="surrogate-modeling-objective"/>
    <w:p>
      <w:pPr>
        <w:pStyle w:val="Heading2"/>
      </w:pPr>
      <w:r>
        <w:t xml:space="preserve">Surrogate modeling objective</w:t>
      </w:r>
    </w:p>
    <w:p>
      <w:pPr>
        <w:pStyle w:val="FirstParagraph"/>
      </w:pPr>
      <w:r>
        <w:t xml:space="preserve">We consider a simulation-generated dataset of</w:t>
      </w:r>
      <w:r>
        <w:t xml:space="preserve"> </w:t>
      </w:r>
      <m:oMath>
        <m:r>
          <m:t>n</m:t>
        </m:r>
      </m:oMath>
      <w:r>
        <w:t xml:space="preserve"> </w:t>
      </w:r>
      <w:r>
        <w:t xml:space="preserve">design points with input vector</w:t>
      </w:r>
      <w:r>
        <w:t xml:space="preserve"> </w:t>
      </w:r>
      <m:oMath>
        <m:sSub>
          <m:e>
            <m:r>
              <m:rPr>
                <m:sty m:val="bi"/>
              </m:rPr>
              <m:t>x</m:t>
            </m:r>
          </m:e>
          <m:sub>
            <m:r>
              <m:t>i</m:t>
            </m:r>
          </m:sub>
        </m:sSub>
        <m:r>
          <m:rPr>
            <m:sty m:val="p"/>
          </m:rPr>
          <m:t>∈</m:t>
        </m:r>
        <m:sSup>
          <m:e>
            <m:r>
              <m:rPr>
                <m:scr m:val="double-struck"/>
                <m:sty m:val="p"/>
              </m:rPr>
              <m:t>R</m:t>
            </m:r>
          </m:e>
          <m:sup>
            <m:r>
              <m:t>d</m:t>
            </m:r>
          </m:sup>
        </m:sSup>
      </m:oMath>
      <w:r>
        <w:t xml:space="preserve"> </w:t>
      </w:r>
      <w:r>
        <w:t xml:space="preserve">and multi-target output vector</w:t>
      </w:r>
      <w:r>
        <w:t xml:space="preserve"> </w:t>
      </w:r>
      <m:oMath>
        <m:sSub>
          <m:e>
            <m:r>
              <m:rPr>
                <m:sty m:val="bi"/>
              </m:rPr>
              <m:t>y</m:t>
            </m:r>
          </m:e>
          <m:sub>
            <m:r>
              <m:t>i</m:t>
            </m:r>
          </m:sub>
        </m:sSub>
        <m:r>
          <m:rPr>
            <m:sty m:val="p"/>
          </m:rPr>
          <m:t>∈</m:t>
        </m:r>
        <m:sSup>
          <m:e>
            <m:r>
              <m:rPr>
                <m:scr m:val="double-struck"/>
                <m:sty m:val="p"/>
              </m:rPr>
              <m:t>R</m:t>
            </m:r>
          </m:e>
          <m:sup>
            <m:r>
              <m:t>K</m:t>
            </m:r>
          </m:sup>
        </m:sSup>
      </m:oMath>
      <w:r>
        <w:t xml:space="preserve"> </w:t>
      </w:r>
      <w:r>
        <w:t xml:space="preserve">for</w:t>
      </w:r>
      <w:r>
        <w:t xml:space="preserve"> </w:t>
      </w:r>
      <m:oMath>
        <m:r>
          <m:t>i</m:t>
        </m:r>
        <m:r>
          <m:rPr>
            <m:sty m:val="p"/>
          </m:rPr>
          <m:t>=</m:t>
        </m:r>
        <m:r>
          <m:t>1</m:t>
        </m:r>
        <m:r>
          <m:rPr>
            <m:sty m:val="p"/>
          </m:rPr>
          <m:t>,</m:t>
        </m:r>
        <m:r>
          <m:rPr>
            <m:sty m:val="p"/>
          </m:rPr>
          <m:t>…</m:t>
        </m:r>
        <m:r>
          <m:rPr>
            <m:sty m:val="p"/>
          </m:rPr>
          <m:t>,</m:t>
        </m:r>
        <m:r>
          <m:t>n</m:t>
        </m:r>
      </m:oMath>
      <w:r>
        <w:t xml:space="preserve">.</w:t>
      </w:r>
      <w:r>
        <w:t xml:space="preserve"> </w:t>
      </w:r>
      <w:r>
        <w:t xml:space="preserve">Each coordinate</w:t>
      </w:r>
      <w:r>
        <w:t xml:space="preserve"> </w:t>
      </w:r>
      <m:oMath>
        <m:sSub>
          <m:e>
            <m:r>
              <m:t>y</m:t>
            </m:r>
          </m:e>
          <m:sub>
            <m:r>
              <m:t>i</m:t>
            </m:r>
            <m:r>
              <m:rPr>
                <m:sty m:val="p"/>
              </m:rPr>
              <m:t>,</m:t>
            </m:r>
            <m:r>
              <m:t>k</m:t>
            </m:r>
          </m:sub>
        </m:sSub>
      </m:oMath>
      <w:r>
        <w:t xml:space="preserve"> </w:t>
      </w:r>
      <w:r>
        <w:t xml:space="preserve">corresponds to a continuous operational KPI (e.g., transit time, waiting time, utilisation).</w:t>
      </w:r>
    </w:p>
    <w:p>
      <w:pPr>
        <w:pStyle w:val="BodyText"/>
      </w:pPr>
      <w:r>
        <w:t xml:space="preserve">For each target</w:t>
      </w:r>
      <w:r>
        <w:t xml:space="preserve"> </w:t>
      </w:r>
      <m:oMath>
        <m:r>
          <m:t>k</m:t>
        </m:r>
        <m:r>
          <m:rPr>
            <m:sty m:val="p"/>
          </m:rPr>
          <m:t>∈</m:t>
        </m:r>
        <m:r>
          <m:rPr>
            <m:sty m:val="p"/>
          </m:rPr>
          <m:t>{</m:t>
        </m:r>
        <m:r>
          <m:t>1</m:t>
        </m:r>
        <m:r>
          <m:rPr>
            <m:sty m:val="p"/>
          </m:rPr>
          <m:t>,</m:t>
        </m:r>
        <m:r>
          <m:rPr>
            <m:sty m:val="p"/>
          </m:rPr>
          <m:t>…</m:t>
        </m:r>
        <m:r>
          <m:rPr>
            <m:sty m:val="p"/>
          </m:rPr>
          <m:t>,</m:t>
        </m:r>
        <m:r>
          <m:t>K</m:t>
        </m:r>
        <m:r>
          <m:rPr>
            <m:sty m:val="p"/>
          </m:rPr>
          <m:t>}</m:t>
        </m:r>
      </m:oMath>
      <w:r>
        <w:t xml:space="preserve">, we learn a predictor</w:t>
      </w:r>
      <w:r>
        <w:t xml:space="preserve"> </w:t>
      </w:r>
      <m:oMath>
        <m:sSub>
          <m:e>
            <m:r>
              <m:t>f</m:t>
            </m:r>
          </m:e>
          <m:sub>
            <m:r>
              <m:t>k</m:t>
            </m:r>
          </m:sub>
        </m:sSub>
        <m:r>
          <m:rPr>
            <m:sty m:val="p"/>
          </m:rPr>
          <m:t>:</m:t>
        </m:r>
        <m:sSup>
          <m:e>
            <m:r>
              <m:rPr>
                <m:scr m:val="double-struck"/>
                <m:sty m:val="p"/>
              </m:rPr>
              <m:t>R</m:t>
            </m:r>
          </m:e>
          <m:sup>
            <m:r>
              <m:t>d</m:t>
            </m:r>
          </m:sup>
        </m:sSup>
        <m:r>
          <m:rPr>
            <m:sty m:val="p"/>
          </m:rPr>
          <m:t>→</m:t>
        </m:r>
        <m:r>
          <m:rPr>
            <m:scr m:val="double-struck"/>
            <m:sty m:val="p"/>
          </m:rPr>
          <m:t>R</m:t>
        </m:r>
      </m:oMath>
      <w:r>
        <w:t xml:space="preserve"> </w:t>
      </w:r>
      <w:r>
        <w:t xml:space="preserve">from training data</w:t>
      </w:r>
      <w:r>
        <w:t xml:space="preserve"> </w:t>
      </w:r>
      <m:oMath>
        <m:r>
          <m:rPr>
            <m:sty m:val="p"/>
          </m:rPr>
          <m:t>{</m:t>
        </m:r>
        <m:r>
          <m:rPr>
            <m:sty m:val="p"/>
          </m:rPr>
          <m:t>(</m:t>
        </m:r>
        <m:sSub>
          <m:e>
            <m:r>
              <m:rPr>
                <m:sty m:val="bi"/>
              </m:rPr>
              <m:t>x</m:t>
            </m:r>
          </m:e>
          <m:sub>
            <m:r>
              <m:t>i</m:t>
            </m:r>
          </m:sub>
        </m:sSub>
        <m:r>
          <m:rPr>
            <m:sty m:val="p"/>
          </m:rPr>
          <m:t>,</m:t>
        </m:r>
        <m:sSub>
          <m:e>
            <m:r>
              <m:t>y</m:t>
            </m:r>
          </m:e>
          <m:sub>
            <m:r>
              <m:t>i</m:t>
            </m:r>
            <m:r>
              <m:rPr>
                <m:sty m:val="p"/>
              </m:rPr>
              <m:t>,</m:t>
            </m:r>
            <m:r>
              <m:t>k</m:t>
            </m:r>
          </m:sub>
        </m:sSub>
        <m:r>
          <m:rPr>
            <m:sty m:val="p"/>
          </m:rPr>
          <m:t>)</m:t>
        </m:r>
        <m:sSub>
          <m:e>
            <m:r>
              <m:rPr>
                <m:sty m:val="p"/>
              </m:rPr>
              <m:t>}</m:t>
            </m:r>
          </m:e>
          <m:sub>
            <m:r>
              <m:t>i</m:t>
            </m:r>
            <m:r>
              <m:rPr>
                <m:sty m:val="p"/>
              </m:rPr>
              <m:t>∈</m:t>
            </m:r>
            <m:sSub>
              <m:e>
                <m:r>
                  <m:rPr>
                    <m:scr m:val="script"/>
                    <m:sty m:val="p"/>
                  </m:rPr>
                  <m:t>I</m:t>
                </m:r>
              </m:e>
              <m:sub>
                <m:r>
                  <m:rPr>
                    <m:sty m:val="p"/>
                  </m:rPr>
                  <m:t>t</m:t>
                </m:r>
                <m:r>
                  <m:rPr>
                    <m:sty m:val="p"/>
                  </m:rPr>
                  <m:t>r</m:t>
                </m:r>
              </m:sub>
            </m:sSub>
          </m:sub>
        </m:sSub>
      </m:oMath>
      <w:r>
        <w:t xml:space="preserve"> </w:t>
      </w:r>
      <w:r>
        <w:t xml:space="preserve">that minimises out-of-sample error under cross-validation, selecting both model class and hyperparameters.</w:t>
      </w:r>
      <w:r>
        <w:t xml:space="preserve"> </w:t>
      </w:r>
      <w:r>
        <w:t xml:space="preserve">Let</w:t>
      </w:r>
      <w:r>
        <w:t xml:space="preserve"> </w:t>
      </w:r>
      <m:oMath>
        <m:sSub>
          <m:e>
            <m:acc>
              <m:accPr>
                <m:chr m:val="̂"/>
              </m:accPr>
              <m:e>
                <m:r>
                  <m:t>y</m:t>
                </m:r>
              </m:e>
            </m:acc>
          </m:e>
          <m:sub>
            <m:r>
              <m:t>i</m:t>
            </m:r>
            <m:r>
              <m:rPr>
                <m:sty m:val="p"/>
              </m:rPr>
              <m:t>,</m:t>
            </m:r>
            <m:r>
              <m:t>k</m:t>
            </m:r>
          </m:sub>
        </m:sSub>
        <m:r>
          <m:rPr>
            <m:sty m:val="p"/>
          </m:rPr>
          <m:t>=</m:t>
        </m:r>
        <m:sSub>
          <m:e>
            <m:r>
              <m:t>f</m:t>
            </m:r>
          </m:e>
          <m:sub>
            <m:r>
              <m:t>k</m:t>
            </m:r>
          </m:sub>
        </m:sSub>
        <m:r>
          <m:rPr>
            <m:sty m:val="p"/>
          </m:rPr>
          <m:t>(</m:t>
        </m:r>
        <m:sSub>
          <m:e>
            <m:r>
              <m:rPr>
                <m:sty m:val="bi"/>
              </m:rPr>
              <m:t>x</m:t>
            </m:r>
          </m:e>
          <m:sub>
            <m:r>
              <m:t>i</m:t>
            </m:r>
          </m:sub>
        </m:sSub>
        <m:r>
          <m:rPr>
            <m:sty m:val="p"/>
          </m:rPr>
          <m:t>)</m:t>
        </m:r>
      </m:oMath>
      <w:r>
        <w:t xml:space="preserve"> </w:t>
      </w:r>
      <w:r>
        <w:t xml:space="preserve">denote predictions on held-out points</w:t>
      </w:r>
      <w:r>
        <w:t xml:space="preserve"> </w:t>
      </w:r>
      <m:oMath>
        <m:r>
          <m:t>i</m:t>
        </m:r>
        <m:r>
          <m:rPr>
            <m:sty m:val="p"/>
          </m:rPr>
          <m:t>∈</m:t>
        </m:r>
        <m:sSub>
          <m:e>
            <m:r>
              <m:rPr>
                <m:scr m:val="script"/>
                <m:sty m:val="p"/>
              </m:rPr>
              <m:t>I</m:t>
            </m:r>
          </m:e>
          <m:sub>
            <m:r>
              <m:rPr>
                <m:sty m:val="p"/>
              </m:rPr>
              <m:t>t</m:t>
            </m:r>
            <m:r>
              <m:rPr>
                <m:sty m:val="p"/>
              </m:rPr>
              <m:t>e</m:t>
            </m:r>
          </m:sub>
        </m:sSub>
      </m:oMath>
      <w:r>
        <w:t xml:space="preserve">.</w:t>
      </w:r>
    </w:p>
    <w:bookmarkEnd w:id="15"/>
    <w:bookmarkStart w:id="17" w:name="Xf9bfdaec5c26f5ddc27eb5eb4ac22067024896c"/>
    <w:p>
      <w:pPr>
        <w:pStyle w:val="Heading2"/>
      </w:pPr>
      <w:r>
        <w:t xml:space="preserve">Candidate Model Family and Hyperparameter Search</w:t>
      </w:r>
    </w:p>
    <w:p>
      <w:pPr>
        <w:pStyle w:val="FirstParagraph"/>
      </w:pPr>
      <w:r>
        <w:t xml:space="preserve">For small-sample, simulation-based design by using nearly orthogonal LHS, implementing a set of surrogate models is justified because no single algorithm is uniformly best and different methods trade off bias, variance, smoothness, and uncertainty quantification. For each target, we evaluate a diverse candidate family including tree ensembles, linear regularized models, kernel methods, and boosting distinguish them Random Forest</w:t>
      </w:r>
      <w:r>
        <w:t xml:space="preserve"> </w:t>
      </w:r>
      <w:r>
        <w:t xml:space="preserve">(Breiman 2001)</w:t>
      </w:r>
      <w:r>
        <w:t xml:space="preserve">, Gradient Boosting</w:t>
      </w:r>
      <w:r>
        <w:t xml:space="preserve"> </w:t>
      </w:r>
      <w:r>
        <w:t xml:space="preserve">(Friedman 2001a)</w:t>
      </w:r>
      <w:r>
        <w:t xml:space="preserve">, XGBoost</w:t>
      </w:r>
      <w:r>
        <w:t xml:space="preserve"> </w:t>
      </w:r>
      <w:r>
        <w:t xml:space="preserve">(Chen and Guestrin 2016)</w:t>
      </w:r>
      <w:r>
        <w:t xml:space="preserve">, LightGBM</w:t>
      </w:r>
      <w:r>
        <w:t xml:space="preserve"> </w:t>
      </w:r>
      <w:r>
        <w:t xml:space="preserve">(Ke et al. 2017)</w:t>
      </w:r>
      <w:r>
        <w:t xml:space="preserve">, CatBoost</w:t>
      </w:r>
      <w:r>
        <w:t xml:space="preserve"> </w:t>
      </w:r>
      <w:r>
        <w:t xml:space="preserve">(Prokhorenkova et al. 2018)</w:t>
      </w:r>
      <w:r>
        <w:t xml:space="preserve">, Gaussian Processes</w:t>
      </w:r>
      <w:r>
        <w:t xml:space="preserve"> </w:t>
      </w:r>
      <w:r>
        <w:t xml:space="preserve">(Rasmussen and Williams 2006)</w:t>
      </w:r>
      <w:r>
        <w:t xml:space="preserve">, SVR</w:t>
      </w:r>
      <w:r>
        <w:t xml:space="preserve"> </w:t>
      </w:r>
      <w:r>
        <w:t xml:space="preserve">(Cortes and Vapnik 1995)</w:t>
      </w:r>
      <w:r>
        <w:t xml:space="preserve">, Ridge</w:t>
      </w:r>
      <w:r>
        <w:t xml:space="preserve"> </w:t>
      </w:r>
      <w:r>
        <w:t xml:space="preserve">(Hoerl and Kennard 1970)</w:t>
      </w:r>
      <w:r>
        <w:t xml:space="preserve">, Lasso</w:t>
      </w:r>
      <w:r>
        <w:t xml:space="preserve"> </w:t>
      </w:r>
      <w:r>
        <w:t xml:space="preserve">(Tibshirani 1996)</w:t>
      </w:r>
      <w:r>
        <w:t xml:space="preserve">, and ElasticNet</w:t>
      </w:r>
      <w:r>
        <w:t xml:space="preserve"> </w:t>
      </w:r>
      <w:r>
        <w:t xml:space="preserve">(Zou and Hastie 2005)</w:t>
      </w:r>
      <w:r>
        <w:t xml:space="preserve">, along with baseline regressors. Hyperparameters are selected by cross-validation (CV) RMSE minimization on the training split.</w:t>
      </w:r>
    </w:p>
    <w:p>
      <w:pPr>
        <w:pStyle w:val="BodyText"/>
      </w:pPr>
      <w:r>
        <w:t xml:space="preserve">To improve reliability under small-</w:t>
      </w:r>
      <m:oMath>
        <m:r>
          <m:t>n</m:t>
        </m:r>
      </m:oMath>
      <w:r>
        <w:t xml:space="preserve"> </w:t>
      </w:r>
      <w:r>
        <w:t xml:space="preserve">conditions, the implementation supports repeated CV (default repeated 10-fold in the pipeline scripts), and records fold-wise RMSE distributions for downstream statistical comparison.</w:t>
      </w:r>
    </w:p>
    <w:bookmarkStart w:id="16" w:name="domain-constraints-at-deployment."/>
    <w:p>
      <w:pPr>
        <w:pStyle w:val="Heading4"/>
      </w:pPr>
      <w:r>
        <w:t xml:space="preserve">Domain constraints at deployment.</w:t>
      </w:r>
    </w:p>
    <w:p>
      <w:pPr>
        <w:pStyle w:val="FirstParagraph"/>
      </w:pPr>
      <w:r>
        <w:t xml:space="preserve">Let</w:t>
      </w:r>
      <w:r>
        <w:t xml:space="preserve"> </w:t>
      </w:r>
      <m:oMath>
        <m:sSub>
          <m:e>
            <m:r>
              <m:rPr>
                <m:sty m:val="p"/>
              </m:rPr>
              <m:t>Π</m:t>
            </m:r>
          </m:e>
          <m:sub>
            <m:r>
              <m:t>k</m:t>
            </m:r>
          </m:sub>
        </m:sSub>
      </m:oMath>
      <w:r>
        <w:t xml:space="preserve"> </w:t>
      </w:r>
      <w:r>
        <w:t xml:space="preserve">denote projection to feasible ranges (e.g. non-negative times, utilisation in</w:t>
      </w:r>
      <w:r>
        <w:t xml:space="preserve"> </w:t>
      </w:r>
      <m:oMath>
        <m:r>
          <m:rPr>
            <m:sty m:val="p"/>
          </m:rPr>
          <m:t>[</m:t>
        </m:r>
        <m:r>
          <m:t>0</m:t>
        </m:r>
        <m:r>
          <m:rPr>
            <m:sty m:val="p"/>
          </m:rPr>
          <m:t>,</m:t>
        </m:r>
        <m:r>
          <m:t>1</m:t>
        </m:r>
        <m:r>
          <m:rPr>
            <m:sty m:val="p"/>
          </m:rPr>
          <m:t>]</m:t>
        </m:r>
      </m:oMath>
      <w:r>
        <w:t xml:space="preserve">).</w:t>
      </w:r>
      <w:r>
        <w:t xml:space="preserve"> </w:t>
      </w:r>
      <w:r>
        <w:t xml:space="preserve">Deployed predictions are</w:t>
      </w:r>
      <w:r>
        <w:t xml:space="preserve"> </w:t>
      </w:r>
      <m:oMath>
        <m:sSub>
          <m:e>
            <m:acc>
              <m:accPr>
                <m:chr m:val="̃"/>
              </m:accPr>
              <m:e>
                <m:r>
                  <m:t>y</m:t>
                </m:r>
              </m:e>
            </m:acc>
          </m:e>
          <m:sub>
            <m:r>
              <m:t>i</m:t>
            </m:r>
            <m:r>
              <m:rPr>
                <m:sty m:val="p"/>
              </m:rPr>
              <m:t>,</m:t>
            </m:r>
            <m:r>
              <m:t>k</m:t>
            </m:r>
          </m:sub>
        </m:sSub>
        <m:r>
          <m:rPr>
            <m:sty m:val="p"/>
          </m:rPr>
          <m:t>=</m:t>
        </m:r>
        <m:sSub>
          <m:e>
            <m:r>
              <m:rPr>
                <m:sty m:val="p"/>
              </m:rPr>
              <m:t>Π</m:t>
            </m:r>
          </m:e>
          <m:sub>
            <m:r>
              <m:t>k</m:t>
            </m:r>
          </m:sub>
        </m:sSub>
        <m:r>
          <m:rPr>
            <m:sty m:val="p"/>
          </m:rPr>
          <m:t>(</m:t>
        </m:r>
        <m:sSub>
          <m:e>
            <m:r>
              <m:t>f</m:t>
            </m:r>
          </m:e>
          <m:sub>
            <m:r>
              <m:t>k</m:t>
            </m:r>
          </m:sub>
        </m:sSub>
        <m:r>
          <m:rPr>
            <m:sty m:val="p"/>
          </m:rPr>
          <m:t>(</m:t>
        </m:r>
        <m:sSub>
          <m:e>
            <m:r>
              <m:rPr>
                <m:sty m:val="bi"/>
              </m:rPr>
              <m:t>x</m:t>
            </m:r>
          </m:e>
          <m:sub>
            <m:r>
              <m:t>i</m:t>
            </m:r>
          </m:sub>
        </m:sSub>
        <m:r>
          <m:rPr>
            <m:sty m:val="p"/>
          </m:rPr>
          <m:t>)</m:t>
        </m:r>
        <m:r>
          <m:rPr>
            <m:sty m:val="p"/>
          </m:rPr>
          <m:t>)</m:t>
        </m:r>
      </m:oMath>
      <w:r>
        <w:t xml:space="preserve">, with UI indication when clipping occurs.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Family</w:t>
            </w:r>
          </w:p>
        </w:tc>
        <w:tc>
          <w:tcPr/>
          <w:p>
            <w:pPr>
              <w:pStyle w:val="Compact"/>
              <w:jc w:val="left"/>
            </w:pPr>
            <w:r>
              <w:rPr>
                <w:b/>
                <w:bCs/>
              </w:rPr>
              <w:t xml:space="preserve">Key strength for LHS surrogates</w:t>
            </w:r>
          </w:p>
        </w:tc>
        <w:tc>
          <w:tcPr/>
          <w:p>
            <w:pPr>
              <w:pStyle w:val="Compact"/>
              <w:jc w:val="left"/>
            </w:pPr>
            <w:r>
              <w:rPr>
                <w:b/>
                <w:bCs/>
              </w:rPr>
              <w:t xml:space="preserve">Literature review evidence</w:t>
            </w:r>
          </w:p>
        </w:tc>
      </w:tr>
      <w:tr>
        <w:tc>
          <w:tcPr/>
          <w:p>
            <w:pPr>
              <w:pStyle w:val="Compact"/>
              <w:jc w:val="left"/>
            </w:pPr>
            <w:r>
              <w:t xml:space="preserve">GP (RBF/Matérn)</w:t>
            </w:r>
          </w:p>
        </w:tc>
        <w:tc>
          <w:tcPr/>
          <w:p>
            <w:pPr>
              <w:pStyle w:val="Compact"/>
              <w:jc w:val="left"/>
            </w:pPr>
            <w:r>
              <w:t xml:space="preserve">Smooth interpolation + uncertainty, small number of samples</w:t>
            </w:r>
          </w:p>
        </w:tc>
        <w:tc>
          <w:tcPr/>
          <w:p>
            <w:pPr>
              <w:pStyle w:val="Compact"/>
              <w:jc w:val="left"/>
            </w:pPr>
            <w:r>
              <w:t xml:space="preserve">(Marrel and Iooss, 2024; Bogoclu et al., 2021</w:t>
            </w:r>
            <w:r>
              <w:t xml:space="preserve"> </w:t>
            </w:r>
            <w:r>
              <w:t xml:space="preserve">(Marrel and Iooss 2024)</w:t>
            </w:r>
            <w:r>
              <w:t xml:space="preserve">)</w:t>
            </w:r>
          </w:p>
        </w:tc>
      </w:tr>
      <w:tr>
        <w:tc>
          <w:tcPr/>
          <w:p>
            <w:pPr>
              <w:pStyle w:val="Compact"/>
              <w:jc w:val="left"/>
            </w:pPr>
            <w:r>
              <w:t xml:space="preserve">SVR-RBF/Poly</w:t>
            </w:r>
          </w:p>
        </w:tc>
        <w:tc>
          <w:tcPr/>
          <w:p>
            <w:pPr>
              <w:pStyle w:val="Compact"/>
              <w:jc w:val="left"/>
            </w:pPr>
            <w:r>
              <w:t xml:space="preserve">Nonlinear small-sample modeling, kernel flexibility</w:t>
            </w:r>
          </w:p>
        </w:tc>
        <w:tc>
          <w:tcPr/>
          <w:p>
            <w:pPr>
              <w:pStyle w:val="Compact"/>
              <w:jc w:val="left"/>
            </w:pPr>
            <w:r>
              <w:t xml:space="preserve">(Yalsavar et al., 2022; Mienye and Sun, 2022)</w:t>
            </w:r>
            <w:r>
              <w:t xml:space="preserve"> </w:t>
            </w:r>
            <w:r>
              <w:t xml:space="preserve">(</w:t>
            </w:r>
            <w:r>
              <w:t xml:space="preserve">Yalsavar et al.</w:t>
            </w:r>
            <w:r>
              <w:t xml:space="preserve"> </w:t>
            </w:r>
            <w:r>
              <w:t xml:space="preserve">2022)</w:t>
            </w:r>
          </w:p>
        </w:tc>
      </w:tr>
      <w:tr>
        <w:tc>
          <w:tcPr/>
          <w:p>
            <w:pPr>
              <w:pStyle w:val="Compact"/>
              <w:jc w:val="left"/>
            </w:pPr>
            <w:r>
              <w:t xml:space="preserve">Gradient boosting</w:t>
            </w:r>
          </w:p>
        </w:tc>
        <w:tc>
          <w:tcPr/>
          <w:p>
            <w:pPr>
              <w:pStyle w:val="Compact"/>
              <w:jc w:val="left"/>
            </w:pPr>
            <w:r>
              <w:t xml:space="preserve">State of the Art (SOTA) tabular accuracy, complex interactions</w:t>
            </w:r>
          </w:p>
        </w:tc>
        <w:tc>
          <w:tcPr/>
          <w:p>
            <w:pPr>
              <w:pStyle w:val="Compact"/>
              <w:jc w:val="left"/>
            </w:pPr>
            <w:r>
              <w:t xml:space="preserve">(Tay, Narasimhan and Hastie, 2021; Jolicoeur-Martineau et al., 2023)</w:t>
            </w:r>
            <w:r>
              <w:t xml:space="preserve">(James et al. 2021)</w:t>
            </w:r>
          </w:p>
        </w:tc>
      </w:tr>
      <w:tr>
        <w:tc>
          <w:tcPr/>
          <w:p>
            <w:pPr>
              <w:pStyle w:val="Compact"/>
              <w:jc w:val="left"/>
            </w:pPr>
            <w:r>
              <w:t xml:space="preserve">RF / ExtraTrees</w:t>
            </w:r>
          </w:p>
        </w:tc>
        <w:tc>
          <w:tcPr/>
          <w:p>
            <w:pPr>
              <w:pStyle w:val="Compact"/>
              <w:jc w:val="left"/>
            </w:pPr>
            <w:r>
              <w:t xml:space="preserve">Strong, robust baselines, low tuning cost</w:t>
            </w:r>
          </w:p>
        </w:tc>
        <w:tc>
          <w:tcPr/>
          <w:p>
            <w:pPr>
              <w:pStyle w:val="Compact"/>
              <w:jc w:val="left"/>
            </w:pPr>
            <w:r>
              <w:t xml:space="preserve">(Bentéjac et al., 2019; Marrel and Iooss, 2024)</w:t>
            </w:r>
            <w:r>
              <w:t xml:space="preserve">(Bentéjac et al. 2019a)</w:t>
            </w:r>
          </w:p>
        </w:tc>
      </w:tr>
      <w:tr>
        <w:tc>
          <w:tcPr/>
          <w:p>
            <w:pPr>
              <w:pStyle w:val="Compact"/>
              <w:jc w:val="left"/>
            </w:pPr>
            <w:r>
              <w:t xml:space="preserve">Polynomial + linear regs</w:t>
            </w:r>
          </w:p>
        </w:tc>
        <w:tc>
          <w:tcPr/>
          <w:p>
            <w:pPr>
              <w:pStyle w:val="Compact"/>
              <w:jc w:val="left"/>
            </w:pPr>
            <w:r>
              <w:t xml:space="preserve">Interpretability; strong when surface near-polynomial/linear</w:t>
            </w:r>
          </w:p>
        </w:tc>
        <w:tc>
          <w:tcPr/>
          <w:p>
            <w:pPr>
              <w:pStyle w:val="Compact"/>
              <w:jc w:val="left"/>
            </w:pPr>
            <w:r>
              <w:t xml:space="preserve">(Friedman, Hastie and Tibshirani, 2010)</w:t>
            </w:r>
            <w:r>
              <w:t xml:space="preserve">(Friedman 2001a)</w:t>
            </w:r>
          </w:p>
        </w:tc>
      </w:tr>
      <w:tr>
        <w:tc>
          <w:tcPr/>
          <w:p>
            <w:pPr>
              <w:pStyle w:val="Compact"/>
              <w:jc w:val="left"/>
            </w:pPr>
            <w:r>
              <w:t xml:space="preserve">KNN / MLP / AdaBoost</w:t>
            </w:r>
          </w:p>
        </w:tc>
        <w:tc>
          <w:tcPr/>
          <w:p>
            <w:pPr>
              <w:pStyle w:val="Compact"/>
              <w:jc w:val="left"/>
            </w:pPr>
            <w:r>
              <w:t xml:space="preserve">Local structure, DL baseline, classic boosting</w:t>
            </w:r>
          </w:p>
        </w:tc>
        <w:tc>
          <w:tcPr/>
          <w:p>
            <w:pPr>
              <w:pStyle w:val="Compact"/>
              <w:jc w:val="left"/>
            </w:pPr>
            <w:r>
              <w:t xml:space="preserve">(Halder et al., 2024; Shams et al., 2024)</w:t>
            </w:r>
            <w:r>
              <w:t xml:space="preserve">(</w:t>
            </w:r>
            <w:r>
              <w:t xml:space="preserve">Halder et al.</w:t>
            </w:r>
            <w:r>
              <w:t xml:space="preserve"> </w:t>
            </w:r>
            <w:r>
              <w:t xml:space="preserve">2024)</w:t>
            </w:r>
          </w:p>
        </w:tc>
      </w:tr>
    </w:tbl>
    <w:bookmarkEnd w:id="16"/>
    <w:bookmarkEnd w:id="17"/>
    <w:bookmarkStart w:id="18" w:name="X0430ccc555277ae21e5abc79f228c9188bd012c"/>
    <w:p>
      <w:pPr>
        <w:pStyle w:val="Heading2"/>
      </w:pPr>
      <w:r>
        <w:t xml:space="preserve">Statistical Model Comparison and Selection</w:t>
      </w:r>
    </w:p>
    <w:p>
      <w:pPr>
        <w:pStyle w:val="FirstParagraph"/>
      </w:pPr>
      <w:r>
        <w:t xml:space="preserve">Beyond selecting by mean CV RMSE alone, we perform pairwise model comparisons using fold-wise paired testing</w:t>
      </w:r>
      <w:r>
        <w:t xml:space="preserve"> </w:t>
      </w:r>
      <w:r>
        <w:t xml:space="preserve">(Student 1908; Dietterich 1998)</w:t>
      </w:r>
      <w:r>
        <w:t xml:space="preserve">. For each target, these comparisons are aggregated into model-selection policies (CV-only and composite score variants). This allows robust per-target specialization instead of enforcing a single global model family across all outputs.</w:t>
      </w:r>
    </w:p>
    <w:bookmarkEnd w:id="18"/>
    <w:bookmarkStart w:id="19" w:name="uncertainty-quantification"/>
    <w:p>
      <w:pPr>
        <w:pStyle w:val="Heading2"/>
      </w:pPr>
      <w:r>
        <w:t xml:space="preserve">Uncertainty Quantification</w:t>
      </w:r>
    </w:p>
    <w:p>
      <w:pPr>
        <w:pStyle w:val="FirstParagraph"/>
      </w:pPr>
      <w:r>
        <w:t xml:space="preserve">After selecting and evaluating target models on hold-out data, we construct residual-quantile predictive intervals:</w:t>
      </w:r>
    </w:p>
    <w:p>
      <w:pPr>
        <w:pStyle w:val="BodyText"/>
      </w:pPr>
      <m:oMathPara>
        <m:oMathParaPr>
          <m:jc m:val="center"/>
        </m:oMathParaPr>
        <m:oMath>
          <m:r>
            <m:rPr>
              <m:sty m:val="p"/>
            </m:rPr>
            <m:t>[</m:t>
          </m:r>
          <m:acc>
            <m:accPr>
              <m:chr m:val="̂"/>
            </m:accPr>
            <m:e>
              <m:r>
                <m:t>y</m:t>
              </m:r>
            </m:e>
          </m:acc>
          <m:r>
            <m:rPr>
              <m:sty m:val="p"/>
            </m:rPr>
            <m:t>−</m:t>
          </m:r>
          <m:sSub>
            <m:e>
              <m:r>
                <m:t>q</m:t>
              </m:r>
            </m:e>
            <m:sub>
              <m:r>
                <m:t>α</m:t>
              </m:r>
            </m:sub>
          </m:sSub>
          <m:r>
            <m:rPr>
              <m:sty m:val="p"/>
            </m:rPr>
            <m:t>,</m:t>
          </m:r>
          <m:acc>
            <m:accPr>
              <m:chr m:val="̂"/>
            </m:accPr>
            <m:e>
              <m:r>
                <m:t>y</m:t>
              </m:r>
            </m:e>
          </m:acc>
          <m:r>
            <m:rPr>
              <m:sty m:val="p"/>
            </m:rPr>
            <m:t>+</m:t>
          </m:r>
          <m:sSub>
            <m:e>
              <m:r>
                <m:t>q</m:t>
              </m:r>
            </m:e>
            <m:sub>
              <m:r>
                <m:t>α</m:t>
              </m:r>
            </m:sub>
          </m:sSub>
          <m:r>
            <m:rPr>
              <m:sty m:val="p"/>
            </m:rPr>
            <m:t>]</m:t>
          </m:r>
          <m:r>
            <m:rPr>
              <m:sty m:val="p"/>
            </m:rPr>
            <m:t>,</m:t>
          </m:r>
          <m:r>
            <m:t> </m:t>
          </m:r>
          <m:sSub>
            <m:e>
              <m:r>
                <m:t>q</m:t>
              </m:r>
            </m:e>
            <m:sub>
              <m:r>
                <m:t>α</m:t>
              </m:r>
            </m:sub>
          </m:sSub>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α</m:t>
              </m:r>
            </m:sub>
          </m:sSub>
          <m:r>
            <m:rPr>
              <m:sty m:val="p"/>
            </m:rPr>
            <m:t>(</m:t>
          </m:r>
          <m:r>
            <m:rPr>
              <m:sty m:val="p"/>
            </m:rPr>
            <m:t>|</m:t>
          </m:r>
          <m:r>
            <m:t>y</m:t>
          </m:r>
          <m:r>
            <m:rPr>
              <m:sty m:val="p"/>
            </m:rPr>
            <m:t>−</m:t>
          </m:r>
          <m:acc>
            <m:accPr>
              <m:chr m:val="̂"/>
            </m:accPr>
            <m:e>
              <m:r>
                <m:t>y</m:t>
              </m:r>
            </m:e>
          </m:acc>
          <m:r>
            <m:rPr>
              <m:sty m:val="p"/>
            </m:rPr>
            <m:t>|</m:t>
          </m:r>
          <m:r>
            <m:rPr>
              <m:sty m:val="p"/>
            </m:rPr>
            <m:t>)</m:t>
          </m:r>
          <m:r>
            <m:rPr>
              <m:sty m:val="p"/>
            </m:rPr>
            <m:t>.</m:t>
          </m:r>
        </m:oMath>
      </m:oMathPara>
    </w:p>
    <w:p>
      <w:pPr>
        <w:pStyle w:val="FirstParagraph"/>
      </w:pPr>
      <w:r>
        <w:t xml:space="preserve">Coverage levels are adaptively chosen from {0.90, 0.95, 0.99} according to relative model error, yielding descriptive conformal-style uncertainty summaries</w:t>
      </w:r>
      <w:r>
        <w:t xml:space="preserve"> </w:t>
      </w:r>
      <w:r>
        <w:t xml:space="preserve">(Vovk et al. 2005; Angelopoulos and Bates 2021)</w:t>
      </w:r>
      <w:r>
        <w:t xml:space="preserve"> </w:t>
      </w:r>
      <w:r>
        <w:t xml:space="preserve">for deployment-facing interpretation.</w:t>
      </w:r>
    </w:p>
    <w:bookmarkEnd w:id="19"/>
    <w:bookmarkStart w:id="20" w:name="explainability-layer"/>
    <w:p>
      <w:pPr>
        <w:pStyle w:val="Heading2"/>
      </w:pPr>
      <w:r>
        <w:t xml:space="preserve">Explainability Layer</w:t>
      </w:r>
    </w:p>
    <w:p>
      <w:pPr>
        <w:pStyle w:val="FirstParagraph"/>
      </w:pPr>
      <w:r>
        <w:t xml:space="preserve">For each selected target-model pair, we compute SHAP attributions</w:t>
      </w:r>
      <w:r>
        <w:t xml:space="preserve"> </w:t>
      </w:r>
      <w:r>
        <w:t xml:space="preserve">(Lundberg and Lee 2017)</w:t>
      </w:r>
      <w:r>
        <w:t xml:space="preserve">. Tree-based explainers are used where supported; otherwise model-agnostic explainers with background masking are applied. We report global mean-</w:t>
      </w:r>
      <m:oMath>
        <m:r>
          <m:rPr>
            <m:sty m:val="p"/>
          </m:rPr>
          <m:t>|</m:t>
        </m:r>
        <m:r>
          <m:rPr>
            <m:sty m:val="p"/>
          </m:rPr>
          <m:t>S</m:t>
        </m:r>
        <m:r>
          <m:rPr>
            <m:sty m:val="p"/>
          </m:rPr>
          <m:t>H</m:t>
        </m:r>
        <m:r>
          <m:rPr>
            <m:sty m:val="p"/>
          </m:rPr>
          <m:t>A</m:t>
        </m:r>
        <m:r>
          <m:rPr>
            <m:sty m:val="p"/>
          </m:rPr>
          <m:t>P</m:t>
        </m:r>
        <m:r>
          <m:rPr>
            <m:sty m:val="p"/>
          </m:rPr>
          <m:t>|</m:t>
        </m:r>
      </m:oMath>
      <w:r>
        <w:t xml:space="preserve"> </w:t>
      </w:r>
      <w:r>
        <w:t xml:space="preserve">rankings and local diagnostic plots to identify influential operational factors.</w:t>
      </w:r>
    </w:p>
    <w:bookmarkEnd w:id="20"/>
    <w:bookmarkStart w:id="21" w:name="scenario-to-feature-inference-mapping"/>
    <w:p>
      <w:pPr>
        <w:pStyle w:val="Heading2"/>
      </w:pPr>
      <w:r>
        <w:t xml:space="preserve">Scenario-to-Feature Inference Mapping</w:t>
      </w:r>
    </w:p>
    <w:p>
      <w:pPr>
        <w:pStyle w:val="FirstParagraph"/>
      </w:pPr>
      <w:r>
        <w:t xml:space="preserve">The deployed inference layer transforms scenario controls into feature vectors through rule-based mappings (route family and border family), bounded clipping, and dynamic parameter overrides. This enables real-time scenario simulation while preserving feature-domain constraints required by trained surrogate models.</w:t>
      </w:r>
    </w:p>
    <w:bookmarkEnd w:id="21"/>
    <w:bookmarkEnd w:id="22"/>
    <w:bookmarkStart w:id="32" w:name="sec:related"/>
    <w:p>
      <w:pPr>
        <w:pStyle w:val="Heading1"/>
      </w:pPr>
      <w:r>
        <w:t xml:space="preserve">Related Work</w:t>
      </w:r>
    </w:p>
    <w:bookmarkStart w:id="23" w:name="post-brexit-logistics-simulation."/>
    <w:p>
      <w:pPr>
        <w:pStyle w:val="Heading4"/>
      </w:pPr>
      <w:r>
        <w:t xml:space="preserve">Post-Brexit logistics simulation.</w:t>
      </w:r>
    </w:p>
    <w:p>
      <w:pPr>
        <w:pStyle w:val="FirstParagraph"/>
      </w:pPr>
      <w:r>
        <w:t xml:space="preserve">Simulation is essential in supply chain analysis because it enables the modelling of uncertainty and complex system interactions that approaches cannot capture effectively. By replicating stochastic behaviours, such as demand variability, transport delays, and regulatory changes, it allows decision-makers to test scenarios and evaluate outcomes without real-world risk. This is particularly important in contexts like Brexit, where simultaneous disruptions across trade flows, border procedures, and transport routes create great uncertainty. As simulation provides a robust framework for scenario analysis, strategic planning, and resilience assessment in supply chain systems.</w:t>
      </w:r>
      <w:r>
        <w:t xml:space="preserve">Ivanov et al.</w:t>
      </w:r>
      <w:r>
        <w:t xml:space="preserve"> </w:t>
      </w:r>
      <w:r>
        <w:t xml:space="preserve">(2021)</w:t>
      </w:r>
      <w:r>
        <w:t xml:space="preserve">.</w:t>
      </w:r>
      <w:r>
        <w:t xml:space="preserve">Mahfouz et al.</w:t>
      </w:r>
      <w:r>
        <w:t xml:space="preserve"> </w:t>
      </w:r>
      <w:r>
        <w:t xml:space="preserve">(2019)</w:t>
      </w:r>
      <w:r>
        <w:t xml:space="preserve"> </w:t>
      </w:r>
      <w:r>
        <w:t xml:space="preserve">and</w:t>
      </w:r>
      <w:r>
        <w:t xml:space="preserve"> </w:t>
      </w:r>
      <w:r>
        <w:t xml:space="preserve">Mahfouz et al.</w:t>
      </w:r>
      <w:r>
        <w:t xml:space="preserve"> </w:t>
      </w:r>
      <w:r>
        <w:t xml:space="preserve">(2020)</w:t>
      </w:r>
      <w:r>
        <w:t xml:space="preserve"> </w:t>
      </w:r>
      <w:r>
        <w:t xml:space="preserve">model post-Brexit agri-fresh and Irish freight corridors;</w:t>
      </w:r>
      <w:r>
        <w:t xml:space="preserve"> </w:t>
      </w:r>
      <w:r>
        <w:t xml:space="preserve">Copenhagen Economics (2018)</w:t>
      </w:r>
      <w:r>
        <w:t xml:space="preserve"> </w:t>
      </w:r>
      <w:r>
        <w:t xml:space="preserve">quantify trade-route shifts away from the UK landbridge.</w:t>
      </w:r>
      <w:r>
        <w:t xml:space="preserve"> </w:t>
      </w:r>
      <w:r>
        <w:t xml:space="preserve">Agent-based and hybrid simulation remain the credibility layer for border and port KPIs</w:t>
      </w:r>
      <w:r>
        <w:t xml:space="preserve"> </w:t>
      </w:r>
      <w:r>
        <w:t xml:space="preserve">(Ivanov et al. 2025; Byrne et al. 2009;</w:t>
      </w:r>
      <w:r>
        <w:t xml:space="preserve"> </w:t>
      </w:r>
      <w:r>
        <w:t xml:space="preserve">Amroune et al.</w:t>
      </w:r>
      <w:r>
        <w:t xml:space="preserve"> </w:t>
      </w:r>
      <w:r>
        <w:t xml:space="preserve">2019)</w:t>
      </w:r>
      <w:r>
        <w:t xml:space="preserve">.</w:t>
      </w:r>
    </w:p>
    <w:bookmarkEnd w:id="23"/>
    <w:bookmarkStart w:id="24" w:name="machine-learning-surrogate-modelling"/>
    <w:p>
      <w:pPr>
        <w:pStyle w:val="Heading4"/>
      </w:pPr>
      <w:r>
        <w:t xml:space="preserve">Machine Learning Surrogate Modelling</w:t>
      </w:r>
    </w:p>
    <w:p>
      <w:pPr>
        <w:pStyle w:val="FirstParagraph"/>
      </w:pPr>
      <w:r>
        <w:t xml:space="preserve">By training machine learning models on a representative set of simulation outputs, surrogates can approximate system behaviour and generate predictions much faster, enabling efficient scenario testing without repeatedly executing expensive simulations. Using the NOLHC data, this approach improved scalability and reduced costs compared to running the full AnyLogic model across a large design space. However, this efficiency comes with a trade-off in accuracy, as surrogate performance depends on the quality and coverage of the training data derived from the original simulation. Gaussian-process emulators and design-based metamodels are standard for expensive simulators</w:t>
      </w:r>
    </w:p>
    <w:bookmarkEnd w:id="24"/>
    <w:bookmarkStart w:id="25" w:name="Xdb5cef2bf18a95176e007bd39c97d24b16700c9"/>
    <w:p>
      <w:pPr>
        <w:pStyle w:val="Heading4"/>
      </w:pPr>
      <w:r>
        <w:t xml:space="preserve">Model Choices for NOLHC Surrogate Modelling</w:t>
      </w:r>
    </w:p>
    <w:p>
      <w:pPr>
        <w:pStyle w:val="FirstParagraph"/>
      </w:pPr>
      <w:r>
        <w:t xml:space="preserve">Nearly orthogonal Latin hypercube designs improve space-filling coverage at modest run budgets</w:t>
      </w:r>
      <w:r>
        <w:t xml:space="preserve"> </w:t>
      </w:r>
      <w:r>
        <w:t xml:space="preserve">(Cioppa and Lucas 2007; Viana 2016; Bogoclu et al. 2021)</w:t>
      </w:r>
      <w:r>
        <w:t xml:space="preserve">.</w:t>
      </w:r>
      <w:r>
        <w:t xml:space="preserve"> </w:t>
      </w:r>
      <w:r>
        <w:t xml:space="preserve">Surrogate reviews emphasise bias–variance trade-offs, extrapolation risk, and validation discipline when</w:t>
      </w:r>
      <w:r>
        <w:t xml:space="preserve"> </w:t>
      </w:r>
      <m:oMath>
        <m:r>
          <m:t>n</m:t>
        </m:r>
      </m:oMath>
      <w:r>
        <w:t xml:space="preserve"> </w:t>
      </w:r>
      <w:r>
        <w:t xml:space="preserve">is small</w:t>
      </w:r>
      <w:r>
        <w:t xml:space="preserve"> </w:t>
      </w:r>
      <w:r>
        <w:t xml:space="preserve">Our setting differs in scale (</w:t>
      </w:r>
      <m:oMath>
        <m:r>
          <m:t>n</m:t>
        </m:r>
        <m:r>
          <m:rPr>
            <m:sty m:val="p"/>
          </m:rPr>
          <m:t>=</m:t>
        </m:r>
        <m:r>
          <m:t>129</m:t>
        </m:r>
      </m:oMath>
      <w:r>
        <w:t xml:space="preserve">) and output multiplicity (</w:t>
      </w:r>
      <m:oMath>
        <m:r>
          <m:t>K</m:t>
        </m:r>
        <m:r>
          <m:rPr>
            <m:sty m:val="p"/>
          </m:rPr>
          <m:t>=</m:t>
        </m:r>
        <m:r>
          <m:t>20</m:t>
        </m:r>
      </m:oMath>
      <w:r>
        <w:t xml:space="preserve">), motivating diverse model families rather than a single GP per target.</w:t>
      </w:r>
    </w:p>
    <w:p>
      <w:pPr>
        <w:pStyle w:val="BodyText"/>
      </w:pPr>
      <w:r>
        <w:t xml:space="preserve">Guassian Process and Kernel SVR: Guassian Process(GP) regression is a standard surrogate for expensive computer experiments providing a probablistic predictive distribution and uncertainity estimates, ideal for sequential design and reliability/uncertainity analysis</w:t>
      </w:r>
      <w:r>
        <w:t xml:space="preserve"> </w:t>
      </w:r>
      <w:r>
        <w:t xml:space="preserve">(Marrel and Iooss 2024; Bogoclu et al. 2021;</w:t>
      </w:r>
      <w:r>
        <w:t xml:space="preserve"> </w:t>
      </w:r>
      <w:r>
        <w:t xml:space="preserve">Cheng et al.</w:t>
      </w:r>
      <w:r>
        <w:t xml:space="preserve"> </w:t>
      </w:r>
      <w:r>
        <w:t xml:space="preserve">2017)</w:t>
      </w:r>
      <w:r>
        <w:t xml:space="preserve">. GP is particularly effective for smooth responses and small to moderate sample sizes. Kernel SVR handles monlinear, high-dimensional problems with small samples, with strong generalization through margin maximization, making it a natural competitor to GP in surrogate-based design</w:t>
      </w:r>
      <w:r>
        <w:t xml:space="preserve"> </w:t>
      </w:r>
      <w:r>
        <w:t xml:space="preserve">(</w:t>
      </w:r>
      <w:r>
        <w:t xml:space="preserve">Cheng et al.</w:t>
      </w:r>
      <w:r>
        <w:t xml:space="preserve"> </w:t>
      </w:r>
      <w:r>
        <w:t xml:space="preserve">2017)</w:t>
      </w:r>
      <w:r>
        <w:t xml:space="preserve">.Specialized kernels (e.g., orthogonal polynomials, universal kernels) improve capture of complex interactions</w:t>
      </w:r>
      <w:r>
        <w:t xml:space="preserve"> </w:t>
      </w:r>
      <w:r>
        <w:t xml:space="preserve">(</w:t>
      </w:r>
      <w:r>
        <w:t xml:space="preserve">Ustun et al.</w:t>
      </w:r>
      <w:r>
        <w:t xml:space="preserve"> </w:t>
      </w:r>
      <w:r>
        <w:t xml:space="preserve">2006)</w:t>
      </w:r>
    </w:p>
    <w:p>
      <w:pPr>
        <w:pStyle w:val="BodyText"/>
      </w:pPr>
      <w:r>
        <w:t xml:space="preserve">Tree Ensembles and Gradient Boosting: Ensemble methods(RF, GBM, XGBoost, LightGBM, CatBoost, AdaBoost) are widely recognised as state of the art on tabular data, combining robustness, nonlinearity modeling and strong average performances across many benchmarks</w:t>
      </w:r>
      <w:r>
        <w:t xml:space="preserve"> </w:t>
      </w:r>
      <w:r>
        <w:t xml:space="preserve">(Bentéjac et al. 2019a)</w:t>
      </w:r>
      <w:r>
        <w:t xml:space="preserve">. Random forests are robust to high dimensionality and avoid overfitting while remaining strong baselines</w:t>
      </w:r>
      <w:r>
        <w:t xml:space="preserve"> </w:t>
      </w:r>
      <w:r>
        <w:t xml:space="preserve">(Marrel and Iooss 2024; Bentéjac et al. 2019b)</w:t>
      </w:r>
      <w:r>
        <w:t xml:space="preserve">. Gradient boosting variants often achieve the best generalization in comparative studies with CatBoost/XGBoost/LightGBM frequently leading, especially for heterogenous/tabular datasets</w:t>
      </w:r>
      <w:r>
        <w:t xml:space="preserve"> </w:t>
      </w:r>
      <w:r>
        <w:t xml:space="preserve">(</w:t>
      </w:r>
      <w:r>
        <w:t xml:space="preserve">Jolicoeur-Martineau et al.</w:t>
      </w:r>
      <w:r>
        <w:t xml:space="preserve"> </w:t>
      </w:r>
      <w:r>
        <w:t xml:space="preserve">2023; Bentéjac et al. 2019b; Mienye and Sun 2022)</w:t>
      </w:r>
      <w:r>
        <w:t xml:space="preserve">. Tree boosting and bagging are strong baselines for tabular metamodels</w:t>
      </w:r>
      <w:r>
        <w:t xml:space="preserve"> </w:t>
      </w:r>
      <w:r>
        <w:t xml:space="preserve">(Friedman 2001b; Breiman 2001; Bentéjac et al. 2019a; Chen and Guestrin 2016; Ke et al. 2017)</w:t>
      </w:r>
      <w:r>
        <w:t xml:space="preserve">.</w:t>
      </w:r>
    </w:p>
    <w:bookmarkEnd w:id="25"/>
    <w:bookmarkStart w:id="26" w:name="why-such-breadth-19-models"/>
    <w:p>
      <w:pPr>
        <w:pStyle w:val="Heading4"/>
      </w:pPr>
      <w:r>
        <w:t xml:space="preserve">Why such breadth, 19 Models?</w:t>
      </w:r>
    </w:p>
    <w:p>
      <w:pPr>
        <w:pStyle w:val="FirstParagraph"/>
      </w:pPr>
      <w:r>
        <w:t xml:space="preserve">Comparative works repeatedly stress that performance is data-dependent and advocate evaluating multiple model families rather than assuming single winner</w:t>
      </w:r>
      <w:r>
        <w:t xml:space="preserve"> </w:t>
      </w:r>
      <w:r>
        <w:t xml:space="preserve">(</w:t>
      </w:r>
      <w:r>
        <w:t xml:space="preserve">Preethi et al.</w:t>
      </w:r>
      <w:r>
        <w:t xml:space="preserve"> </w:t>
      </w:r>
      <w:r>
        <w:t xml:space="preserve">2025; Marrel and Iooss 2024; Chen and Guestrin 2016; Bogoclu et al. 2021)</w:t>
      </w:r>
      <w:r>
        <w:t xml:space="preserve">. For deign Optimization and uncertainty analysis, this breadths helps us to:</w:t>
      </w:r>
    </w:p>
    <w:p>
      <w:pPr>
        <w:pStyle w:val="BodyText"/>
      </w:pPr>
      <w:r>
        <w:t xml:space="preserve">Capture different functional shapes smooth (GP, polynomial), highly nonlinear/interacting (GBDT, RF, MLP, SVR), and local structures (KNN)</w:t>
      </w:r>
      <w:r>
        <w:t xml:space="preserve"> </w:t>
      </w:r>
      <w:r>
        <w:t xml:space="preserve">(Marrel and Iooss 2024; Bentéjac et al. 2019b;</w:t>
      </w:r>
      <w:r>
        <w:t xml:space="preserve"> </w:t>
      </w:r>
      <w:r>
        <w:t xml:space="preserve">Cheng et al.</w:t>
      </w:r>
      <w:r>
        <w:t xml:space="preserve"> </w:t>
      </w:r>
      <w:r>
        <w:t xml:space="preserve">2017)</w:t>
      </w:r>
    </w:p>
    <w:p>
      <w:pPr>
        <w:pStyle w:val="BodyText"/>
      </w:pPr>
      <w:r>
        <w:t xml:space="preserve">Compare interpretable baselines (linear/polynomial/regularized) against black‑box models</w:t>
      </w:r>
      <w:r>
        <w:t xml:space="preserve"> </w:t>
      </w:r>
      <w:r>
        <w:t xml:space="preserve">(</w:t>
      </w:r>
      <w:r>
        <w:t xml:space="preserve">Preethi et al.</w:t>
      </w:r>
      <w:r>
        <w:t xml:space="preserve"> </w:t>
      </w:r>
      <w:r>
        <w:t xml:space="preserve">2025; Marrel and Iooss 2024)</w:t>
      </w:r>
    </w:p>
    <w:p>
      <w:pPr>
        <w:pStyle w:val="BodyText"/>
      </w:pPr>
      <w:r>
        <w:t xml:space="preserve">Obtain uncertainty estimates from GP and Bayesian/regularized linear models for UQ and adaptive sampling</w:t>
      </w:r>
      <w:r>
        <w:t xml:space="preserve"> </w:t>
      </w:r>
      <w:r>
        <w:t xml:space="preserve">(</w:t>
      </w:r>
      <w:r>
        <w:t xml:space="preserve">Manfredi et al.</w:t>
      </w:r>
      <w:r>
        <w:t xml:space="preserve"> </w:t>
      </w:r>
      <w:r>
        <w:t xml:space="preserve">2024;</w:t>
      </w:r>
      <w:r>
        <w:t xml:space="preserve"> </w:t>
      </w:r>
      <w:r>
        <w:t xml:space="preserve">Jin et al.</w:t>
      </w:r>
      <w:r>
        <w:t xml:space="preserve"> </w:t>
      </w:r>
      <w:r>
        <w:t xml:space="preserve">2020; James et al. 2021;</w:t>
      </w:r>
      <w:r>
        <w:t xml:space="preserve"> </w:t>
      </w:r>
      <w:r>
        <w:t xml:space="preserve">Bedoui et al.</w:t>
      </w:r>
      <w:r>
        <w:t xml:space="preserve"> </w:t>
      </w:r>
      <w:r>
        <w:t xml:space="preserve">2020)</w:t>
      </w:r>
    </w:p>
    <w:bookmarkEnd w:id="26"/>
    <w:bookmarkStart w:id="27" w:name="model-comparison."/>
    <w:p>
      <w:pPr>
        <w:pStyle w:val="Heading4"/>
      </w:pPr>
      <w:r>
        <w:t xml:space="preserve">Model comparison.</w:t>
      </w:r>
    </w:p>
    <w:p>
      <w:pPr>
        <w:pStyle w:val="FirstParagraph"/>
      </w:pPr>
      <w:r>
        <w:t xml:space="preserve">We use paired tests on matched CV fold errors and Friedman/Nemenyi-style rankings</w:t>
      </w:r>
    </w:p>
    <w:bookmarkEnd w:id="27"/>
    <w:bookmarkStart w:id="28" w:name="uncertainty-and-explainability."/>
    <w:p>
      <w:pPr>
        <w:pStyle w:val="Heading4"/>
      </w:pPr>
      <w:r>
        <w:t xml:space="preserve">Uncertainty and explainability.</w:t>
      </w:r>
    </w:p>
    <w:p>
      <w:pPr>
        <w:pStyle w:val="FirstParagraph"/>
      </w:pPr>
      <w:r>
        <w:t xml:space="preserve">We report symmetric intervals from residual quantiles with coverage tied to relative test RMSE, building on conformal foundations</w:t>
      </w:r>
      <w:r>
        <w:t xml:space="preserve"> </w:t>
      </w:r>
      <w:r>
        <w:t xml:space="preserve">(Vovk et al. 2005)</w:t>
      </w:r>
      <w:r>
        <w:t xml:space="preserve">; we treat these as descriptive on the hold-out set rather than formal split-conformal guarantees.</w:t>
      </w:r>
      <w:r>
        <w:t xml:space="preserve"> </w:t>
      </w:r>
      <w:r>
        <w:t xml:space="preserve">Global SHAP attributions support governance review without causal claims</w:t>
      </w:r>
      <w:r>
        <w:t xml:space="preserve"> </w:t>
      </w:r>
      <w:r>
        <w:t xml:space="preserve">(Lundberg and Lee 2017)</w:t>
      </w:r>
      <w:r>
        <w:t xml:space="preserve">.</w:t>
      </w:r>
    </w:p>
    <w:bookmarkEnd w:id="28"/>
    <w:bookmarkStart w:id="29" w:name="human-centered-ui-design"/>
    <w:p>
      <w:pPr>
        <w:pStyle w:val="Heading4"/>
      </w:pPr>
      <w:r>
        <w:t xml:space="preserve">Human-Centered UI Design</w:t>
      </w:r>
    </w:p>
    <w:p>
      <w:pPr>
        <w:pStyle w:val="FirstParagraph"/>
      </w:pPr>
      <w:r>
        <w:t xml:space="preserve">Human-centred design is critical in supply chain decision support because it ensures that complex analytical outputs are accessible and actionable for end users. By prioritising usability principles (i.e clear feedback, consistency, and error prevention), it reduces cognitive load and enables faster, higher-quality decision-making without requiring deep technical expertise. In tools like the NOLHC system, where metrics such as transit times, queue lengths, and resource utilisation are presented, clear visualisation and intuitive interaction are essential for effective scenario comparison and interpretation. As a result, well-designed interfaces increase user trust and adoption of model-driven insights, making human-centred design a key component of simulation- and surrogate-based systems</w:t>
      </w:r>
      <w:r>
        <w:t xml:space="preserve"> </w:t>
      </w:r>
      <w:r>
        <w:t xml:space="preserve">(Viana 2016)</w:t>
      </w:r>
    </w:p>
    <w:bookmarkEnd w:id="29"/>
    <w:bookmarkStart w:id="30" w:name="human-in-the-loop-decision-support."/>
    <w:p>
      <w:pPr>
        <w:pStyle w:val="Heading4"/>
      </w:pPr>
      <w:r>
        <w:t xml:space="preserve">Human-in-the-loop decision support.</w:t>
      </w:r>
    </w:p>
    <w:p>
      <w:pPr>
        <w:pStyle w:val="FirstParagraph"/>
      </w:pPr>
      <w:r>
        <w:t xml:space="preserve">Interactive scenario UIs for logistics are common in operations research</w:t>
      </w:r>
      <w:r>
        <w:t xml:space="preserve"> </w:t>
      </w:r>
      <w:r>
        <w:t xml:space="preserve">(Breiman 2001)</w:t>
      </w:r>
      <w:r>
        <w:t xml:space="preserve">.Human-in-the-loop AI is important in supply chain decision support because it integrates human judgement into model-driven processes, rather than relying solely on automated outputs. This is particularly valuable in complex logistics contexts, where real-world factors, such as political events or unexpected port congestion, cannot be fully captured in model parameters. By allowing users to adjust assumptions, explore anomalies, and override model recommendations, human-in-the-loop approaches improve both decision quality and user confidence. In systems like the ML surrogate tool, user-defined inputs are actively incorporated into the model to generate updated performance indicators, supporting more informed and context-aware decisions.</w:t>
      </w:r>
      <w:r>
        <w:t xml:space="preserve"> </w:t>
      </w:r>
      <w:r>
        <w:t xml:space="preserve">Our contribution couples</w:t>
      </w:r>
      <w:r>
        <w:t xml:space="preserve"> </w:t>
      </w:r>
      <w:r>
        <w:rPr>
          <w:i/>
          <w:iCs/>
        </w:rPr>
        <w:t xml:space="preserve">auditable</w:t>
      </w:r>
      <w:r>
        <w:t xml:space="preserve"> </w:t>
      </w:r>
      <w:r>
        <w:t xml:space="preserve">ML selection artifacts with explainability, persona-based narration, and policy-governed inputs in a human-on-the-loop protocol</w:t>
      </w:r>
    </w:p>
    <w:bookmarkEnd w:id="30"/>
    <w:bookmarkStart w:id="31" w:name="synthesis-research-gap."/>
    <w:p>
      <w:pPr>
        <w:pStyle w:val="Heading4"/>
      </w:pPr>
      <w:r>
        <w:t xml:space="preserve">Synthesis &amp; Research Gap.</w:t>
      </w:r>
    </w:p>
    <w:p>
      <w:pPr>
        <w:pStyle w:val="FirstParagraph"/>
      </w:pPr>
      <w:r>
        <w:t xml:space="preserve">The research shows that simulation is essential for modelling uncertainty in supply chains, while machine learning surrogates improve scalability, human-centred design enhances usability, and human-in-the-loop approaches ensure contextual relevance and decision quality. However, these elements are often applied in isolation, with limited integration into a unified decision support framework. This creates a research gap for developing a simulation-based system that combines these approaches to deliver scalable, interpretable, and user-driven supply chain analysis.</w:t>
      </w:r>
    </w:p>
    <w:bookmarkEnd w:id="31"/>
    <w:bookmarkEnd w:id="32"/>
    <w:bookmarkStart w:id="33" w:name="sec:Dataset characterisation"/>
    <w:p>
      <w:pPr>
        <w:pStyle w:val="Heading1"/>
      </w:pPr>
      <w:r>
        <w:t xml:space="preserve">Dataset characterisation</w:t>
      </w:r>
    </w:p>
    <w:p>
      <w:pPr>
        <w:pStyle w:val="FirstParagraph"/>
      </w:pPr>
      <w:r>
        <w:t xml:space="preserve">The experimental corpus comprises</w:t>
      </w:r>
      <w:r>
        <w:t xml:space="preserve"> </w:t>
      </w:r>
      <m:oMath>
        <m:r>
          <m:t>n</m:t>
        </m:r>
        <m:r>
          <m:rPr>
            <m:sty m:val="p"/>
          </m:rPr>
          <m:t>=</m:t>
        </m:r>
        <m:r>
          <m:t>129</m:t>
        </m:r>
      </m:oMath>
      <w:r>
        <w:t xml:space="preserve"> </w:t>
      </w:r>
      <w:r>
        <w:t xml:space="preserve">complete AnyLogic simulation runs from a</w:t>
      </w:r>
      <w:r>
        <w:t xml:space="preserve"> </w:t>
      </w:r>
      <w:r>
        <w:rPr>
          <w:i/>
          <w:iCs/>
        </w:rPr>
        <w:t xml:space="preserve">Nearly Orthogonal Latin Hypercube</w:t>
      </w:r>
      <w:r>
        <w:t xml:space="preserve"> </w:t>
      </w:r>
      <w:r>
        <w:t xml:space="preserve">(NOLHC) design over</w:t>
      </w:r>
      <w:r>
        <w:t xml:space="preserve"> </w:t>
      </w:r>
      <m:oMath>
        <m:r>
          <m:t>d</m:t>
        </m:r>
        <m:r>
          <m:rPr>
            <m:sty m:val="p"/>
          </m:rPr>
          <m:t>=</m:t>
        </m:r>
        <m:r>
          <m:t>35</m:t>
        </m:r>
      </m:oMath>
      <w:r>
        <w:t xml:space="preserve"> </w:t>
      </w:r>
      <w:r>
        <w:t xml:space="preserve">continuous input parameters and</w:t>
      </w:r>
      <w:r>
        <w:t xml:space="preserve"> </w:t>
      </w:r>
      <m:oMath>
        <m:r>
          <m:t>K</m:t>
        </m:r>
        <m:r>
          <m:rPr>
            <m:sty m:val="p"/>
          </m:rPr>
          <m:t>=</m:t>
        </m:r>
        <m:r>
          <m:t>20</m:t>
        </m:r>
      </m:oMath>
      <w:r>
        <w:t xml:space="preserve"> </w:t>
      </w:r>
      <w:r>
        <w:t xml:space="preserve">continuous simulation outputs (KPIs).</w:t>
      </w:r>
      <w:r>
        <w:t xml:space="preserve"> </w:t>
      </w:r>
      <w:r>
        <w:t xml:space="preserve">Each run maps a joint draw of trade volumes (tonnes), route-mode allocations (landbridge vs. direct EU, including Cherbourg shift volumes), vessel capacities (trailers), checkpoint check times (minutes), staffing counts, and border-check route fractions in</w:t>
      </w:r>
      <w:r>
        <w:t xml:space="preserve"> </w:t>
      </w:r>
      <m:oMath>
        <m:r>
          <m:rPr>
            <m:sty m:val="p"/>
          </m:rPr>
          <m:t>[</m:t>
        </m:r>
        <m:r>
          <m:t>0</m:t>
        </m:r>
        <m:r>
          <m:rPr>
            <m:sty m:val="p"/>
          </m:rPr>
          <m:t>,</m:t>
        </m:r>
        <m:r>
          <m:t>1</m:t>
        </m:r>
        <m:r>
          <m:rPr>
            <m:sty m:val="p"/>
          </m:rPr>
          <m:t>]</m:t>
        </m:r>
      </m:oMath>
      <w:r>
        <w:t xml:space="preserve">, to agri and non-agri transit and wait times (hours), route-level transit and wait KPIs, and customs/DAFM staff utilisation (unitless fractions).</w:t>
      </w:r>
      <w:r>
        <w:t xml:space="preserve"> </w:t>
      </w:r>
      <w:r>
        <w:t xml:space="preserve">Processed matrices contain no missing values.</w:t>
      </w:r>
      <w:r>
        <w:t xml:space="preserve"> </w:t>
      </w:r>
      <w:r>
        <w:t xml:space="preserve">Inputs span heterogeneous physical units and magnitudes (e.g. trade flows in hundreds of thousands of tonnes vs. fractions near unity), motivating per-feature standardisation for distance-based learners while tree ensembles use raw inputs.</w:t>
      </w:r>
    </w:p>
    <w:p>
      <w:pPr>
        <w:pStyle w:val="BodyText"/>
      </w:pPr>
      <w:r>
        <w:t xml:space="preserve">Descriptive statistics on all 129 runs show pronounced</w:t>
      </w:r>
      <w:r>
        <w:t xml:space="preserve"> </w:t>
      </w:r>
      <w:r>
        <w:rPr>
          <w:i/>
          <w:iCs/>
        </w:rPr>
        <w:t xml:space="preserve">scale heterogeneity</w:t>
      </w:r>
      <w:r>
        <w:t xml:space="preserve"> </w:t>
      </w:r>
      <w:r>
        <w:t xml:space="preserve">among targets: landbridge outbound transit (</w:t>
      </w:r>
      <w:r>
        <w:rPr>
          <w:rStyle w:val="VerbatimChar"/>
        </w:rPr>
        <w:t xml:space="preserve">TT_OB_LB</w:t>
      </w:r>
      <w:r>
        <w:t xml:space="preserve">) is tightly concentrated (mean</w:t>
      </w:r>
      <w:r>
        <w:t xml:space="preserve"> </w:t>
      </w:r>
      <m:oMath>
        <m:r>
          <m:rPr>
            <m:sty m:val="p"/>
          </m:rPr>
          <m:t>≈</m:t>
        </m:r>
        <m:r>
          <m:t>25.7</m:t>
        </m:r>
      </m:oMath>
      <w:r>
        <w:t xml:space="preserve"> h, s.d. </w:t>
      </w:r>
      <m:oMath>
        <m:r>
          <m:rPr>
            <m:sty m:val="p"/>
          </m:rPr>
          <m:t>≈</m:t>
        </m:r>
        <m:r>
          <m:t>0.46</m:t>
        </m:r>
      </m:oMath>
      <w:r>
        <w:t xml:space="preserve"> h on</w:t>
      </w:r>
      <w:r>
        <w:t xml:space="preserve"> </w:t>
      </w:r>
      <m:oMath>
        <m:r>
          <m:rPr>
            <m:sty m:val="p"/>
          </m:rPr>
          <m:t>[</m:t>
        </m:r>
        <m:r>
          <m:t>25</m:t>
        </m:r>
        <m:r>
          <m:rPr>
            <m:sty m:val="p"/>
          </m:rPr>
          <m:t>,</m:t>
        </m:r>
        <m:r>
          <m:t>27</m:t>
        </m:r>
        <m:r>
          <m:rPr>
            <m:sty m:val="p"/>
          </m:rPr>
          <m:t>]</m:t>
        </m:r>
      </m:oMath>
      <w:r>
        <w:t xml:space="preserve"> h), whereas inbound landbridge waits and several agri KPIs exhibit much larger dispersion (e.g. </w:t>
      </w:r>
      <w:r>
        <w:rPr>
          <w:rStyle w:val="VerbatimChar"/>
        </w:rPr>
        <w:t xml:space="preserve">WT_IB_LB</w:t>
      </w:r>
      <w:r>
        <w:t xml:space="preserve">: mean</w:t>
      </w:r>
      <w:r>
        <w:t xml:space="preserve"> </w:t>
      </w:r>
      <m:oMath>
        <m:r>
          <m:rPr>
            <m:sty m:val="p"/>
          </m:rPr>
          <m:t>≈</m:t>
        </m:r>
        <m:r>
          <m:t>61.5</m:t>
        </m:r>
      </m:oMath>
      <w:r>
        <w:t xml:space="preserve"> h, s.d. </w:t>
      </w:r>
      <m:oMath>
        <m:r>
          <m:rPr>
            <m:sty m:val="p"/>
          </m:rPr>
          <m:t>≈</m:t>
        </m:r>
        <m:r>
          <m:t>62.5</m:t>
        </m:r>
      </m:oMath>
      <w:r>
        <w:t xml:space="preserve"> h).</w:t>
      </w:r>
      <w:r>
        <w:t xml:space="preserve"> </w:t>
      </w:r>
      <w:r>
        <w:t xml:space="preserve">Eight of twenty outputs have</w:t>
      </w:r>
      <w:r>
        <w:t xml:space="preserve"> </w:t>
      </w:r>
      <m:oMath>
        <m:r>
          <m:rPr>
            <m:sty m:val="p"/>
          </m:rPr>
          <m:t>|</m:t>
        </m:r>
        <m:r>
          <m:rPr>
            <m:sty m:val="p"/>
          </m:rPr>
          <m:t>s</m:t>
        </m:r>
        <m:r>
          <m:rPr>
            <m:sty m:val="p"/>
          </m:rPr>
          <m:t>k</m:t>
        </m:r>
        <m:r>
          <m:rPr>
            <m:sty m:val="p"/>
          </m:rPr>
          <m:t>e</m:t>
        </m:r>
        <m:r>
          <m:rPr>
            <m:sty m:val="p"/>
          </m:rPr>
          <m:t>w</m:t>
        </m:r>
        <m:r>
          <m:rPr>
            <m:sty m:val="p"/>
          </m:rPr>
          <m:t>n</m:t>
        </m:r>
        <m:r>
          <m:rPr>
            <m:sty m:val="p"/>
          </m:rPr>
          <m:t>e</m:t>
        </m:r>
        <m:r>
          <m:rPr>
            <m:sty m:val="p"/>
          </m:rPr>
          <m:t>s</m:t>
        </m:r>
        <m:r>
          <m:rPr>
            <m:sty m:val="p"/>
          </m:rPr>
          <m:t>s</m:t>
        </m:r>
        <m:r>
          <m:rPr>
            <m:sty m:val="p"/>
          </m:rPr>
          <m:t>|</m:t>
        </m:r>
        <m:r>
          <m:rPr>
            <m:sty m:val="p"/>
          </m:rPr>
          <m:t>&gt;</m:t>
        </m:r>
        <m:r>
          <m:t>1</m:t>
        </m:r>
      </m:oMath>
      <w:r>
        <w:t xml:space="preserve">; agri outbound transit (</w:t>
      </w:r>
      <w:r>
        <w:rPr>
          <w:rStyle w:val="VerbatimChar"/>
        </w:rPr>
        <w:t xml:space="preserve">TT_OB_Agri</w:t>
      </w:r>
      <w:r>
        <w:t xml:space="preserve">, skew</w:t>
      </w:r>
      <w:r>
        <w:t xml:space="preserve"> </w:t>
      </w:r>
      <m:oMath>
        <m:r>
          <m:rPr>
            <m:sty m:val="p"/>
          </m:rPr>
          <m:t>≈</m:t>
        </m:r>
        <m:r>
          <m:t>3.0</m:t>
        </m:r>
      </m:oMath>
      <w:r>
        <w:t xml:space="preserve">) and non-agri inbound wait at Rosslare (</w:t>
      </w:r>
      <w:r>
        <w:rPr>
          <w:rStyle w:val="VerbatimChar"/>
        </w:rPr>
        <w:t xml:space="preserve">WT_IB_NA_Ross</w:t>
      </w:r>
      <w:r>
        <w:t xml:space="preserve">, skew</w:t>
      </w:r>
      <w:r>
        <w:t xml:space="preserve"> </w:t>
      </w:r>
      <m:oMath>
        <m:r>
          <m:rPr>
            <m:sty m:val="p"/>
          </m:rPr>
          <m:t>≈</m:t>
        </m:r>
        <m:r>
          <m:t>7.5</m:t>
        </m:r>
      </m:oMath>
      <w:r>
        <w:t xml:space="preserve">) are strongly right-skewed, indicating a minority of design points with unusually long delays.</w:t>
      </w:r>
      <w:r>
        <w:t xml:space="preserve"> </w:t>
      </w:r>
      <w:r>
        <w:t xml:space="preserve">Utilisation KPIs are bounded near</w:t>
      </w:r>
      <w:r>
        <w:t xml:space="preserve"> </w:t>
      </w:r>
      <m:oMath>
        <m:r>
          <m:rPr>
            <m:sty m:val="p"/>
          </m:rPr>
          <m:t>[</m:t>
        </m:r>
        <m:r>
          <m:t>0</m:t>
        </m:r>
        <m:r>
          <m:rPr>
            <m:sty m:val="p"/>
          </m:rPr>
          <m:t>,</m:t>
        </m:r>
        <m:r>
          <m:t>1</m:t>
        </m:r>
        <m:r>
          <m:rPr>
            <m:sty m:val="p"/>
          </m:rPr>
          <m:t>]</m:t>
        </m:r>
      </m:oMath>
      <w:r>
        <w:t xml:space="preserve"> </w:t>
      </w:r>
      <w:r>
        <w:t xml:space="preserve">with smaller variance (e.g. </w:t>
      </w:r>
      <w:r>
        <w:rPr>
          <w:rStyle w:val="VerbatimChar"/>
        </w:rPr>
        <w:t xml:space="preserve">Uti_Cus_D</w:t>
      </w:r>
      <w:r>
        <w:t xml:space="preserve"> </w:t>
      </w:r>
      <w:r>
        <w:t xml:space="preserve">mean</w:t>
      </w:r>
      <w:r>
        <w:t xml:space="preserve"> </w:t>
      </w:r>
      <m:oMath>
        <m:r>
          <m:rPr>
            <m:sty m:val="p"/>
          </m:rPr>
          <m:t>≈</m:t>
        </m:r>
        <m:r>
          <m:t>0.90</m:t>
        </m:r>
      </m:oMath>
      <w:r>
        <w:t xml:space="preserve">, s.d. </w:t>
      </w:r>
      <m:oMath>
        <m:r>
          <m:rPr>
            <m:sty m:val="p"/>
          </m:rPr>
          <m:t>≈</m:t>
        </m:r>
        <m:r>
          <m:t>0.14</m:t>
        </m:r>
      </m:oMath>
      <w:r>
        <w:t xml:space="preserve">).</w:t>
      </w:r>
      <w:r>
        <w:t xml:space="preserve"> </w:t>
      </w:r>
      <w:r>
        <w:t xml:space="preserve">Pairwise correlations among outputs are moderate on average (mean</w:t>
      </w:r>
      <w:r>
        <w:t xml:space="preserve"> </w:t>
      </w:r>
      <m:oMath>
        <m:r>
          <m:rPr>
            <m:sty m:val="p"/>
          </m:rPr>
          <m:t>|</m:t>
        </m:r>
        <m:r>
          <m:t>r</m:t>
        </m:r>
        <m:r>
          <m:rPr>
            <m:sty m:val="p"/>
          </m:rPr>
          <m:t>|</m:t>
        </m:r>
        <m:r>
          <m:rPr>
            <m:sty m:val="p"/>
          </m:rPr>
          <m:t>≈</m:t>
        </m:r>
        <m:r>
          <m:t>0.30</m:t>
        </m:r>
      </m:oMath>
      <w:r>
        <w:t xml:space="preserve">) but several KPI pairs exceed</w:t>
      </w:r>
      <w:r>
        <w:t xml:space="preserve"> </w:t>
      </w:r>
      <m:oMath>
        <m:r>
          <m:rPr>
            <m:sty m:val="p"/>
          </m:rPr>
          <m:t>|</m:t>
        </m:r>
        <m:r>
          <m:t>r</m:t>
        </m:r>
        <m:r>
          <m:rPr>
            <m:sty m:val="p"/>
          </m:rPr>
          <m:t>|</m:t>
        </m:r>
        <m:r>
          <m:rPr>
            <m:sty m:val="p"/>
          </m:rPr>
          <m:t>=</m:t>
        </m:r>
        <m:r>
          <m:t>0.7</m:t>
        </m:r>
      </m:oMath>
      <w:r>
        <w:t xml:space="preserve">, reflecting shared congestion dynamics across routes and commodities; surrogates are therefore trained as</w:t>
      </w:r>
      <w:r>
        <w:t xml:space="preserve"> </w:t>
      </w:r>
      <w:r>
        <w:rPr>
          <w:i/>
          <w:iCs/>
        </w:rPr>
        <w:t xml:space="preserve">multi-output regressors</w:t>
      </w:r>
      <w:r>
        <w:t xml:space="preserve"> </w:t>
      </w:r>
      <w:r>
        <w:t xml:space="preserve">(one model per KPI) rather than as a single joint classifier.</w:t>
      </w:r>
    </w:p>
    <w:p>
      <w:pPr>
        <w:pStyle w:val="BodyText"/>
      </w:pPr>
      <w:r>
        <w:t xml:space="preserve">For model development, indices are permuted with seed 42 and partitioned into a training pool of</w:t>
      </w:r>
      <w:r>
        <w:t xml:space="preserve"> </w:t>
      </w:r>
      <m:oMath>
        <m:r>
          <m:rPr>
            <m:sty m:val="p"/>
          </m:rPr>
          <m:t>|</m:t>
        </m:r>
        <m:sSub>
          <m:e>
            <m:r>
              <m:rPr>
                <m:scr m:val="script"/>
                <m:sty m:val="p"/>
              </m:rPr>
              <m:t>D</m:t>
            </m:r>
          </m:e>
          <m:sub>
            <m:r>
              <m:rPr>
                <m:sty m:val="p"/>
              </m:rPr>
              <m:t>t</m:t>
            </m:r>
            <m:r>
              <m:rPr>
                <m:sty m:val="p"/>
              </m:rPr>
              <m:t>r</m:t>
            </m:r>
          </m:sub>
        </m:sSub>
        <m:r>
          <m:rPr>
            <m:sty m:val="p"/>
          </m:rPr>
          <m:t>|</m:t>
        </m:r>
        <m:r>
          <m:rPr>
            <m:sty m:val="p"/>
          </m:rPr>
          <m:t>=</m:t>
        </m:r>
        <m:r>
          <m:t>103</m:t>
        </m:r>
      </m:oMath>
      <w:r>
        <w:t xml:space="preserve"> </w:t>
      </w:r>
      <w:r>
        <w:t xml:space="preserve">(</w:t>
      </w:r>
      <m:oMath>
        <m:r>
          <m:rPr>
            <m:sty m:val="p"/>
          </m:rPr>
          <m:t>≈</m:t>
        </m:r>
        <m:r>
          <m:t>80</m:t>
        </m:r>
        <m:r>
          <m:rPr>
            <m:sty m:val="p"/>
          </m:rPr>
          <m:t>%</m:t>
        </m:r>
      </m:oMath>
      <w:r>
        <w:t xml:space="preserve">) and a hold-out set of</w:t>
      </w:r>
      <w:r>
        <w:t xml:space="preserve"> </w:t>
      </w:r>
      <m:oMath>
        <m:r>
          <m:rPr>
            <m:sty m:val="p"/>
          </m:rPr>
          <m:t>|</m:t>
        </m:r>
        <m:sSub>
          <m:e>
            <m:r>
              <m:rPr>
                <m:scr m:val="script"/>
                <m:sty m:val="p"/>
              </m:rPr>
              <m:t>D</m:t>
            </m:r>
          </m:e>
          <m:sub>
            <m:r>
              <m:rPr>
                <m:sty m:val="p"/>
              </m:rPr>
              <m:t>t</m:t>
            </m:r>
            <m:r>
              <m:rPr>
                <m:sty m:val="p"/>
              </m:rPr>
              <m:t>e</m:t>
            </m:r>
          </m:sub>
        </m:sSub>
        <m:r>
          <m:rPr>
            <m:sty m:val="p"/>
          </m:rPr>
          <m:t>|</m:t>
        </m:r>
        <m:r>
          <m:rPr>
            <m:sty m:val="p"/>
          </m:rPr>
          <m:t>=</m:t>
        </m:r>
        <m:r>
          <m:t>26</m:t>
        </m:r>
      </m:oMath>
      <w:r>
        <w:t xml:space="preserve"> </w:t>
      </w:r>
      <w:r>
        <w:t xml:space="preserve">(</w:t>
      </w:r>
      <m:oMath>
        <m:r>
          <m:rPr>
            <m:sty m:val="p"/>
          </m:rPr>
          <m:t>≈</m:t>
        </m:r>
        <m:r>
          <m:t>20</m:t>
        </m:r>
        <m:r>
          <m:rPr>
            <m:sty m:val="p"/>
          </m:rPr>
          <m:t>%</m:t>
        </m:r>
      </m:oMath>
      <w:r>
        <w:t xml:space="preserve">); the hold-out rows are excluded from cross-validation, hyperparameter search, and scaler fitting.</w:t>
      </w:r>
      <w:r>
        <w:t xml:space="preserve"> </w:t>
      </w:r>
      <w:r>
        <w:t xml:space="preserve">The small design size and non-uniform output scales favour flexible regressors (ensembles, Gaussian processes) alongside linear baselines, and caution against extrapolation beyond the NOLHC envelope.</w:t>
      </w:r>
    </w:p>
    <w:p>
      <w:pPr>
        <w:pStyle w:val="BodyText"/>
      </w:pPr>
      <w:r>
        <w:t xml:space="preserve">@ p</w:t>
      </w:r>
      <w:r>
        <w:t xml:space="preserve">0.40</w:t>
      </w:r>
      <w:r>
        <w:t xml:space="preserve"> </w:t>
      </w:r>
      <w:r>
        <w:t xml:space="preserve">c p</w:t>
      </w:r>
      <w:r>
        <w:t xml:space="preserve">0.45</w:t>
      </w:r>
      <w:r>
        <w:t xml:space="preserve"> </w:t>
      </w:r>
      <w:r>
        <w:t xml:space="preserve">@</w:t>
      </w:r>
      <w:r>
        <w:br/>
      </w:r>
      <w:r>
        <w:t xml:space="preserve">Group &amp; # &amp; Examples</w:t>
      </w:r>
      <w:r>
        <w:br/>
      </w:r>
      <w:r>
        <w:t xml:space="preserve">Trade volume shifts &amp; 4 &amp; Non-agri/agri import–export totals</w:t>
      </w:r>
      <w:r>
        <w:br/>
      </w:r>
      <w:r>
        <w:t xml:space="preserve">Direct vs. land-bridge routing &amp; 8 &amp; Cherbourg shifts; LB/DR splits</w:t>
      </w:r>
      <w:r>
        <w:br/>
      </w:r>
      <w:r>
        <w:t xml:space="preserve">Land-bridge corridor volumes &amp; 4 &amp; Mode-specific tonne flows</w:t>
      </w:r>
      <w:r>
        <w:br/>
      </w:r>
      <w:r>
        <w:t xml:space="preserve">Vessel capacity (IRE–GB) &amp; 5 &amp; Dublin/Rosslare route capacities</w:t>
      </w:r>
      <w:r>
        <w:br/>
      </w:r>
      <w:r>
        <w:t xml:space="preserve">Customs expertise &amp; resources &amp; 6 &amp; Check times; shed/bay counts</w:t>
      </w:r>
      <w:r>
        <w:br/>
      </w:r>
      <w:r>
        <w:t xml:space="preserve">Border-check interventions &amp; 8 &amp; Green/red/pre-board fractions</w:t>
      </w:r>
      <w:r>
        <w:br/>
      </w:r>
      <w:r>
        <w:br/>
      </w:r>
      <w:r>
        <w:t xml:space="preserve">Agri transit &amp; wait &amp; 6 &amp;</w:t>
      </w:r>
      <w:r>
        <w:t xml:space="preserve"> </w:t>
      </w:r>
      <w:r>
        <w:rPr>
          <w:rStyle w:val="VerbatimChar"/>
        </w:rPr>
        <w:t xml:space="preserve">TT_OB_Agri</w:t>
      </w:r>
      <w:r>
        <w:t xml:space="preserve">,</w:t>
      </w:r>
      <w:r>
        <w:t xml:space="preserve"> </w:t>
      </w:r>
      <w:r>
        <w:rPr>
          <w:rStyle w:val="VerbatimChar"/>
        </w:rPr>
        <w:t xml:space="preserve">WT_IB_A_*</w:t>
      </w:r>
      <w:r>
        <w:br/>
      </w:r>
      <w:r>
        <w:t xml:space="preserve">Non-agri wait &amp; 4 &amp;</w:t>
      </w:r>
      <w:r>
        <w:t xml:space="preserve"> </w:t>
      </w:r>
      <w:r>
        <w:rPr>
          <w:rStyle w:val="VerbatimChar"/>
        </w:rPr>
        <w:t xml:space="preserve">WT_IB_NA_*</w:t>
      </w:r>
      <w:r>
        <w:t xml:space="preserve">,</w:t>
      </w:r>
      <w:r>
        <w:t xml:space="preserve"> </w:t>
      </w:r>
      <w:r>
        <w:rPr>
          <w:rStyle w:val="VerbatimChar"/>
        </w:rPr>
        <w:t xml:space="preserve">WT_OB_NA_*</w:t>
      </w:r>
      <w:r>
        <w:br/>
      </w:r>
      <w:r>
        <w:t xml:space="preserve">Route transit &amp; wait &amp; 6 &amp; Landbridge/direct</w:t>
      </w:r>
      <w:r>
        <w:t xml:space="preserve"> </w:t>
      </w:r>
      <w:r>
        <w:rPr>
          <w:rStyle w:val="VerbatimChar"/>
        </w:rPr>
        <w:t xml:space="preserve">TT_*</w:t>
      </w:r>
      <w:r>
        <w:t xml:space="preserve">,</w:t>
      </w:r>
      <w:r>
        <w:t xml:space="preserve"> </w:t>
      </w:r>
      <w:r>
        <w:rPr>
          <w:rStyle w:val="VerbatimChar"/>
        </w:rPr>
        <w:t xml:space="preserve">WT_*</w:t>
      </w:r>
      <w:r>
        <w:br/>
      </w:r>
      <w:r>
        <w:t xml:space="preserve">Staff utilisation &amp; 4 &amp;</w:t>
      </w:r>
      <w:r>
        <w:t xml:space="preserve"> </w:t>
      </w:r>
      <w:r>
        <w:rPr>
          <w:rStyle w:val="VerbatimChar"/>
        </w:rPr>
        <w:t xml:space="preserve">Uti_Cus_*</w:t>
      </w:r>
      <w:r>
        <w:t xml:space="preserve">,</w:t>
      </w:r>
      <w:r>
        <w:t xml:space="preserve"> </w:t>
      </w:r>
      <w:r>
        <w:rPr>
          <w:rStyle w:val="VerbatimChar"/>
        </w:rPr>
        <w:t xml:space="preserve">Uti_DAFM_*</w:t>
      </w:r>
      <w:r>
        <w:br/>
      </w:r>
    </w:p>
    <w:bookmarkEnd w:id="33"/>
    <w:bookmarkStart w:id="41" w:name="sec:method"/>
    <w:p>
      <w:pPr>
        <w:pStyle w:val="Heading1"/>
      </w:pPr>
      <w:r>
        <w:t xml:space="preserve">Method</w:t>
      </w:r>
    </w:p>
    <w:p>
      <w:pPr>
        <w:pStyle w:val="FirstParagraph"/>
      </w:pPr>
      <w:r>
        <w:t xml:space="preserve">We learn</w:t>
      </w:r>
      <w:r>
        <w:t xml:space="preserve"> </w:t>
      </w:r>
      <w:r>
        <w:rPr>
          <w:i/>
          <w:iCs/>
        </w:rPr>
        <w:t xml:space="preserve">multi-output surrogates</w:t>
      </w:r>
      <w:r>
        <w:t xml:space="preserve"> </w:t>
      </w:r>
      <w:r>
        <w:t xml:space="preserve">mapping simulator inputs to logistics KPIs with auditable model choice and millisecond inference.</w:t>
      </w:r>
      <w:r>
        <w:t xml:space="preserve"> </w:t>
      </w:r>
      <w:r>
        <w:t xml:space="preserve">Design and variable groups are in §</w:t>
      </w:r>
      <w:hyperlink w:anchor="sec:experiments">
        <w:r>
          <w:rPr>
            <w:rStyle w:val="Hyperlink"/>
          </w:rPr>
          <w:t xml:space="preserve">6</w:t>
        </w:r>
      </w:hyperlink>
      <w:r>
        <w:t xml:space="preserve"> </w:t>
      </w:r>
      <w:r>
        <w:t xml:space="preserve">(Appendix </w:t>
      </w:r>
      <w:hyperlink w:anchor="app:supp">
        <w:r>
          <w:rPr>
            <w:rStyle w:val="Hyperlink"/>
          </w:rPr>
          <w:t xml:space="preserve">10</w:t>
        </w:r>
      </w:hyperlink>
      <w:r>
        <w:t xml:space="preserve">); dataset counts are omitted here.</w:t>
      </w:r>
      <w:r>
        <w:t xml:space="preserve"> </w:t>
      </w:r>
      <w:r>
        <w:t xml:space="preserve">For each target</w:t>
      </w:r>
      <w:r>
        <w:t xml:space="preserve"> </w:t>
      </w:r>
      <m:oMath>
        <m:r>
          <m:t>k</m:t>
        </m:r>
      </m:oMath>
      <w:r>
        <w:t xml:space="preserve">, we estimate</w:t>
      </w:r>
      <w:r>
        <w:t xml:space="preserve"> </w:t>
      </w:r>
      <m:oMath>
        <m:sSub>
          <m:e>
            <m:r>
              <m:t>f</m:t>
            </m:r>
          </m:e>
          <m:sub>
            <m:r>
              <m:t>k</m:t>
            </m:r>
          </m:sub>
        </m:sSub>
      </m:oMath>
      <w:r>
        <w:t xml:space="preserve"> </w:t>
      </w:r>
      <w:r>
        <w:t xml:space="preserve">on</w:t>
      </w:r>
      <w:r>
        <w:t xml:space="preserve"> </w:t>
      </w:r>
      <m:oMath>
        <m:sSub>
          <m:e>
            <m:r>
              <m:rPr>
                <m:scr m:val="script"/>
                <m:sty m:val="p"/>
              </m:rPr>
              <m:t>D</m:t>
            </m:r>
          </m:e>
          <m:sub>
            <m:r>
              <m:rPr>
                <m:sty m:val="p"/>
              </m:rPr>
              <m:t>t</m:t>
            </m:r>
            <m:r>
              <m:rPr>
                <m:sty m:val="p"/>
              </m:rPr>
              <m:t>r</m:t>
            </m:r>
          </m:sub>
        </m:sSub>
      </m:oMath>
      <w:r>
        <w:t xml:space="preserve">, rank families by repeated CV and nonparametric tests, explain the pre-test composite winner with SHAP, and deploy</w:t>
      </w:r>
      <w:r>
        <w:t xml:space="preserve"> </w:t>
      </w:r>
      <m:oMath>
        <m:r>
          <m:rPr>
            <m:sty m:val="p"/>
          </m:rPr>
          <m:t>(</m:t>
        </m:r>
        <m:sSub>
          <m:e>
            <m:r>
              <m:t>f</m:t>
            </m:r>
          </m:e>
          <m:sub>
            <m:r>
              <m:t>1</m:t>
            </m:r>
          </m:sub>
        </m:sSub>
        <m:r>
          <m:rPr>
            <m:sty m:val="p"/>
          </m:rPr>
          <m:t>,</m:t>
        </m:r>
        <m:r>
          <m:rPr>
            <m:sty m:val="p"/>
          </m:rPr>
          <m:t>…</m:t>
        </m:r>
        <m:r>
          <m:rPr>
            <m:sty m:val="p"/>
          </m:rPr>
          <m:t>,</m:t>
        </m:r>
        <m:sSub>
          <m:e>
            <m:r>
              <m:t>f</m:t>
            </m:r>
          </m:e>
          <m:sub>
            <m:r>
              <m:t>K</m:t>
            </m:r>
          </m:sub>
        </m:sSub>
        <m:r>
          <m:rPr>
            <m:sty m:val="p"/>
          </m:rPr>
          <m:t>)</m:t>
        </m:r>
      </m:oMath>
      <w:r>
        <w:t xml:space="preserve"> </w:t>
      </w:r>
      <w:r>
        <w:t xml:space="preserve">with projection</w:t>
      </w:r>
      <w:r>
        <w:t xml:space="preserve"> </w:t>
      </w:r>
      <m:oMath>
        <m:sSub>
          <m:e>
            <m:r>
              <m:rPr>
                <m:sty m:val="p"/>
              </m:rPr>
              <m:t>Π</m:t>
            </m:r>
          </m:e>
          <m:sub>
            <m:r>
              <m:t>k</m:t>
            </m:r>
          </m:sub>
        </m:sSub>
      </m:oMath>
      <w:r>
        <w:t xml:space="preserve"> </w:t>
      </w:r>
      <w:r>
        <w:t xml:space="preserve">and uncertainty bands.</w:t>
      </w:r>
      <w:r>
        <w:t xml:space="preserve"> </w:t>
      </w:r>
      <w:r>
        <w:t xml:space="preserve">A single reproducible run fits scalers, logs fold-wise RMSE, exports</w:t>
      </w:r>
      <w:r>
        <w:t xml:space="preserve"> </w:t>
      </w:r>
      <w:r>
        <w:rPr>
          <w:rStyle w:val="VerbatimChar"/>
        </w:rPr>
        <w:t xml:space="preserve">.joblib</w:t>
      </w:r>
      <w:r>
        <w:t xml:space="preserve"> </w:t>
      </w:r>
      <w:r>
        <w:t xml:space="preserve">artefacts, and feeds the Decision Intelligence UI.</w:t>
      </w:r>
      <w:r>
        <w:t xml:space="preserve"> </w:t>
      </w:r>
      <w:r>
        <w:t xml:space="preserve">Figure </w:t>
      </w:r>
      <w:hyperlink w:anchor="fig:pipeline">
        <w:r>
          <w:rPr>
            <w:rStyle w:val="Hyperlink"/>
          </w:rPr>
          <w:t xml:space="preserve">1</w:t>
        </w:r>
      </w:hyperlink>
      <w:r>
        <w:t xml:space="preserve"> </w:t>
      </w:r>
      <w:r>
        <w:t xml:space="preserve">and Algorithm </w:t>
      </w:r>
      <w:hyperlink w:anchor="alg:cv-target">
        <w:r>
          <w:rPr>
            <w:rStyle w:val="Hyperlink"/>
          </w:rPr>
          <w:t xml:space="preserve">[alg:cv-target]</w:t>
        </w:r>
      </w:hyperlink>
      <w:r>
        <w:t xml:space="preserve"> </w:t>
      </w:r>
      <w:r>
        <w:t xml:space="preserve">(Appendix </w:t>
      </w:r>
      <w:hyperlink w:anchor="app:workflow">
        <w:r>
          <w:rPr>
            <w:rStyle w:val="Hyperlink"/>
          </w:rPr>
          <w:t xml:space="preserve">10.1</w:t>
        </w:r>
      </w:hyperlink>
      <w:r>
        <w:t xml:space="preserve">) summarise the workflow.</w:t>
      </w:r>
    </w:p>
    <w:bookmarkStart w:id="34" w:name="sec:method-io"/>
    <w:p>
      <w:pPr>
        <w:pStyle w:val="Heading2"/>
      </w:pPr>
      <w:r>
        <w:t xml:space="preserve">Problem formulation and I/O</w:t>
      </w:r>
    </w:p>
    <w:p>
      <w:pPr>
        <w:pStyle w:val="FirstParagraph"/>
      </w:pPr>
      <w:r>
        <w:t xml:space="preserve">The</w:t>
      </w:r>
      <w:r>
        <w:t xml:space="preserve"> </w:t>
      </w:r>
      <w:r>
        <w:rPr>
          <w:i/>
          <w:iCs/>
        </w:rPr>
        <w:t xml:space="preserve">input</w:t>
      </w:r>
      <w:r>
        <w:t xml:space="preserve"> </w:t>
      </w:r>
      <w:r>
        <w:t xml:space="preserve">is design matrix</w:t>
      </w:r>
      <w:r>
        <w:t xml:space="preserve"> </w:t>
      </w:r>
      <m:oMath>
        <m:r>
          <m:rPr>
            <m:sty m:val="bi"/>
          </m:rPr>
          <m:t>X</m:t>
        </m:r>
        <m:r>
          <m:rPr>
            <m:sty m:val="p"/>
          </m:rPr>
          <m:t>∈</m:t>
        </m:r>
        <m:sSup>
          <m:e>
            <m:r>
              <m:rPr>
                <m:scr m:val="double-struck"/>
                <m:sty m:val="p"/>
              </m:rPr>
              <m:t>R</m:t>
            </m:r>
          </m:e>
          <m:sup>
            <m:r>
              <m:t>n</m:t>
            </m:r>
            <m:r>
              <m:rPr>
                <m:sty m:val="p"/>
              </m:rPr>
              <m:t>×</m:t>
            </m:r>
            <m:r>
              <m:t>d</m:t>
            </m:r>
          </m:sup>
        </m:sSup>
      </m:oMath>
      <w:r>
        <w:t xml:space="preserve"> </w:t>
      </w:r>
      <w:r>
        <w:t xml:space="preserve">with rows</w:t>
      </w:r>
      <w:r>
        <w:t xml:space="preserve"> </w:t>
      </w:r>
      <m:oMath>
        <m:sSub>
          <m:e>
            <m:r>
              <m:rPr>
                <m:sty m:val="bi"/>
              </m:rPr>
              <m:t>x</m:t>
            </m:r>
          </m:e>
          <m:sub>
            <m:r>
              <m:t>i</m:t>
            </m:r>
          </m:sub>
        </m:sSub>
        <m:r>
          <m:rPr>
            <m:sty m:val="p"/>
          </m:rPr>
          <m:t>∈</m:t>
        </m:r>
        <m:sSup>
          <m:e>
            <m:r>
              <m:rPr>
                <m:scr m:val="double-struck"/>
                <m:sty m:val="p"/>
              </m:rPr>
              <m:t>R</m:t>
            </m:r>
          </m:e>
          <m:sup>
            <m:r>
              <m:t>d</m:t>
            </m:r>
          </m:sup>
        </m:sSup>
      </m:oMath>
      <w:r>
        <w:t xml:space="preserve"> </w:t>
      </w:r>
      <w:r>
        <w:t xml:space="preserve">and multi-target matrix</w:t>
      </w:r>
      <w:r>
        <w:t xml:space="preserve"> </w:t>
      </w:r>
      <m:oMath>
        <m:r>
          <m:rPr>
            <m:sty m:val="bi"/>
          </m:rPr>
          <m:t>Y</m:t>
        </m:r>
        <m:r>
          <m:rPr>
            <m:sty m:val="p"/>
          </m:rPr>
          <m:t>∈</m:t>
        </m:r>
        <m:sSup>
          <m:e>
            <m:r>
              <m:rPr>
                <m:scr m:val="double-struck"/>
                <m:sty m:val="p"/>
              </m:rPr>
              <m:t>R</m:t>
            </m:r>
          </m:e>
          <m:sup>
            <m:r>
              <m:t>n</m:t>
            </m:r>
            <m:r>
              <m:rPr>
                <m:sty m:val="p"/>
              </m:rPr>
              <m:t>×</m:t>
            </m:r>
            <m:r>
              <m:t>K</m:t>
            </m:r>
          </m:sup>
        </m:sSup>
      </m:oMath>
      <w:r>
        <w:t xml:space="preserve"> </w:t>
      </w:r>
      <w:r>
        <w:t xml:space="preserve">with entries</w:t>
      </w:r>
      <w:r>
        <w:t xml:space="preserve"> </w:t>
      </w:r>
      <m:oMath>
        <m:sSub>
          <m:e>
            <m:r>
              <m:t>y</m:t>
            </m:r>
          </m:e>
          <m:sub>
            <m:r>
              <m:t>i</m:t>
            </m:r>
            <m:r>
              <m:rPr>
                <m:sty m:val="p"/>
              </m:rPr>
              <m:t>,</m:t>
            </m:r>
            <m:r>
              <m:t>k</m:t>
            </m:r>
          </m:sub>
        </m:sSub>
      </m:oMath>
      <w:r>
        <w:t xml:space="preserve">.</w:t>
      </w:r>
      <w:r>
        <w:t xml:space="preserve"> </w:t>
      </w:r>
      <w:r>
        <w:t xml:space="preserve">For target</w:t>
      </w:r>
      <w:r>
        <w:t xml:space="preserve"> </w:t>
      </w:r>
      <m:oMath>
        <m:r>
          <m:t>k</m:t>
        </m:r>
      </m:oMath>
      <w:r>
        <w:t xml:space="preserve">, we extract</w:t>
      </w:r>
      <w:r>
        <w:t xml:space="preserve"> </w:t>
      </w:r>
      <m:oMath>
        <m:sSup>
          <m:e>
            <m:r>
              <m:rPr>
                <m:sty m:val="bi"/>
              </m:rPr>
              <m:t>y</m:t>
            </m:r>
          </m:e>
          <m:sup>
            <m:r>
              <m:rPr>
                <m:sty m:val="p"/>
              </m:rPr>
              <m:t>(</m:t>
            </m:r>
            <m:r>
              <m:t>k</m:t>
            </m:r>
            <m:r>
              <m:rPr>
                <m:sty m:val="p"/>
              </m:rPr>
              <m:t>)</m:t>
            </m:r>
          </m:sup>
        </m:sSup>
        <m:r>
          <m:rPr>
            <m:sty m:val="p"/>
          </m:rPr>
          <m:t>=</m:t>
        </m:r>
        <m:r>
          <m:rPr>
            <m:sty m:val="p"/>
          </m:rPr>
          <m:t>(</m:t>
        </m:r>
        <m:sSub>
          <m:e>
            <m:r>
              <m:t>y</m:t>
            </m:r>
          </m:e>
          <m:sub>
            <m:r>
              <m:t>1</m:t>
            </m:r>
            <m:r>
              <m:rPr>
                <m:sty m:val="p"/>
              </m:rPr>
              <m:t>,</m:t>
            </m:r>
            <m:r>
              <m:t>k</m:t>
            </m:r>
          </m:sub>
        </m:sSub>
        <m:r>
          <m:rPr>
            <m:sty m:val="p"/>
          </m:rPr>
          <m:t>,</m:t>
        </m:r>
        <m:r>
          <m:rPr>
            <m:sty m:val="p"/>
          </m:rPr>
          <m:t>…</m:t>
        </m:r>
        <m:r>
          <m:rPr>
            <m:sty m:val="p"/>
          </m:rPr>
          <m:t>,</m:t>
        </m:r>
        <m:sSub>
          <m:e>
            <m:r>
              <m:t>y</m:t>
            </m:r>
          </m:e>
          <m:sub>
            <m:r>
              <m:t>n</m:t>
            </m:r>
            <m:r>
              <m:rPr>
                <m:sty m:val="p"/>
              </m:rPr>
              <m:t>,</m:t>
            </m:r>
            <m:r>
              <m:t>k</m:t>
            </m:r>
          </m:sub>
        </m:sSub>
        <m:sSup>
          <m:e>
            <m:r>
              <m:rPr>
                <m:sty m:val="p"/>
              </m:rPr>
              <m:t>)</m:t>
            </m:r>
          </m:e>
          <m:sup>
            <m:r>
              <m:rPr>
                <m:sty m:val="p"/>
              </m:rPr>
              <m:t>⊤</m:t>
            </m:r>
          </m:sup>
        </m:sSup>
      </m:oMath>
      <w:r>
        <w:t xml:space="preserve"> </w:t>
      </w:r>
      <w:r>
        <w:t xml:space="preserve">and fit learner</w:t>
      </w:r>
      <w:r>
        <w:t xml:space="preserve"> </w:t>
      </w:r>
      <m:oMath>
        <m:sSub>
          <m:e>
            <m:r>
              <m:t>f</m:t>
            </m:r>
          </m:e>
          <m:sub>
            <m:r>
              <m:t>k</m:t>
            </m:r>
          </m:sub>
        </m:sSub>
        <m:r>
          <m:rPr>
            <m:sty m:val="p"/>
          </m:rPr>
          <m:t>(</m:t>
        </m:r>
        <m:r>
          <m:rPr>
            <m:sty m:val="p"/>
          </m:rPr>
          <m:t>⋅</m:t>
        </m:r>
        <m:r>
          <m:rPr>
            <m:sty m:val="p"/>
          </m:rPr>
          <m:t>;</m:t>
        </m:r>
        <m:r>
          <m:t>θ</m:t>
        </m:r>
        <m:r>
          <m:rPr>
            <m:sty m:val="p"/>
          </m:rPr>
          <m:t>)</m:t>
        </m:r>
      </m:oMath>
      <w:r>
        <w:t xml:space="preserve"> </w:t>
      </w:r>
      <w:r>
        <w:t xml:space="preserve">from family</w:t>
      </w:r>
      <w:r>
        <w:t xml:space="preserve"> </w:t>
      </w:r>
      <m:oMath>
        <m:r>
          <m:t>m</m:t>
        </m:r>
        <m:r>
          <m:rPr>
            <m:sty m:val="p"/>
          </m:rPr>
          <m:t>∈</m:t>
        </m:r>
        <m:r>
          <m:rPr>
            <m:scr m:val="script"/>
            <m:sty m:val="p"/>
          </m:rPr>
          <m:t>M</m:t>
        </m:r>
      </m:oMath>
      <w:r>
        <w:t xml:space="preserve"> </w:t>
      </w:r>
      <w:r>
        <w:t xml:space="preserve">with hyperparameters</w:t>
      </w:r>
      <w:r>
        <w:t xml:space="preserve"> </w:t>
      </w:r>
      <m:oMath>
        <m:r>
          <m:t>θ</m:t>
        </m:r>
        <m:r>
          <m:rPr>
            <m:sty m:val="p"/>
          </m:rPr>
          <m:t>∈</m:t>
        </m:r>
        <m:sSub>
          <m:e>
            <m:r>
              <m:rPr>
                <m:scr m:val="script"/>
                <m:sty m:val="p"/>
              </m:rPr>
              <m:t>G</m:t>
            </m:r>
          </m:e>
          <m:sub>
            <m:r>
              <m:t>m</m:t>
            </m:r>
          </m:sub>
        </m:sSub>
      </m:oMath>
      <w:r>
        <w:t xml:space="preserve">, predicting</w:t>
      </w:r>
      <w:r>
        <w:t xml:space="preserve"> </w:t>
      </w:r>
      <m:oMath>
        <m:sSub>
          <m:e>
            <m:acc>
              <m:accPr>
                <m:chr m:val="̂"/>
              </m:accPr>
              <m:e>
                <m:r>
                  <m:t>y</m:t>
                </m:r>
              </m:e>
            </m:acc>
          </m:e>
          <m:sub>
            <m:r>
              <m:t>i</m:t>
            </m:r>
            <m:r>
              <m:rPr>
                <m:sty m:val="p"/>
              </m:rPr>
              <m:t>,</m:t>
            </m:r>
            <m:r>
              <m:t>k</m:t>
            </m:r>
          </m:sub>
        </m:sSub>
        <m:r>
          <m:rPr>
            <m:sty m:val="p"/>
          </m:rPr>
          <m:t>=</m:t>
        </m:r>
        <m:sSub>
          <m:e>
            <m:r>
              <m:t>f</m:t>
            </m:r>
          </m:e>
          <m:sub>
            <m:r>
              <m:t>k</m:t>
            </m:r>
          </m:sub>
        </m:sSub>
        <m:r>
          <m:rPr>
            <m:sty m:val="p"/>
          </m:rPr>
          <m:t>(</m:t>
        </m:r>
        <m:sSub>
          <m:e>
            <m:r>
              <m:rPr>
                <m:sty m:val="bi"/>
              </m:rPr>
              <m:t>x</m:t>
            </m:r>
          </m:e>
          <m:sub>
            <m:r>
              <m:t>i</m:t>
            </m:r>
          </m:sub>
        </m:sSub>
        <m:r>
          <m:rPr>
            <m:sty m:val="p"/>
          </m:rPr>
          <m:t>;</m:t>
        </m:r>
        <m:r>
          <m:t>θ</m:t>
        </m:r>
        <m:r>
          <m:rPr>
            <m:sty m:val="p"/>
          </m:rPr>
          <m:t>)</m:t>
        </m:r>
      </m:oMath>
      <w:r>
        <w:t xml:space="preserve"> </w:t>
      </w:r>
      <w:r>
        <w:t xml:space="preserve">on held-out indices.</w:t>
      </w:r>
      <w:r>
        <w:t xml:space="preserve"> </w:t>
      </w:r>
      <w:r>
        <w:t xml:space="preserve">At deployment, scenario</w:t>
      </w:r>
      <w:r>
        <w:t xml:space="preserve"> </w:t>
      </w:r>
      <m:oMath>
        <m:sSub>
          <m:e>
            <m:r>
              <m:rPr>
                <m:sty m:val="bi"/>
              </m:rPr>
              <m:t>x</m:t>
            </m:r>
          </m:e>
          <m:sub>
            <m:r>
              <m:rPr>
                <m:sty m:val="p"/>
              </m:rPr>
              <m:t>⋆</m:t>
            </m:r>
          </m:sub>
        </m:sSub>
      </m:oMath>
      <w:r>
        <w:t xml:space="preserve"> </w:t>
      </w:r>
      <w:r>
        <w:t xml:space="preserve">yields</w:t>
      </w:r>
      <w:r>
        <w:t xml:space="preserve"> </w:t>
      </w:r>
      <m:oMath>
        <m:sSub>
          <m:e>
            <m:acc>
              <m:accPr>
                <m:chr m:val="̃"/>
              </m:accPr>
              <m:e>
                <m:r>
                  <m:t>y</m:t>
                </m:r>
              </m:e>
            </m:acc>
          </m:e>
          <m:sub>
            <m:r>
              <m:rPr>
                <m:sty m:val="p"/>
              </m:rPr>
              <m:t>⋆</m:t>
            </m:r>
            <m:r>
              <m:rPr>
                <m:sty m:val="p"/>
              </m:rPr>
              <m:t>,</m:t>
            </m:r>
            <m:r>
              <m:t>k</m:t>
            </m:r>
          </m:sub>
        </m:sSub>
        <m:r>
          <m:rPr>
            <m:sty m:val="p"/>
          </m:rPr>
          <m:t>=</m:t>
        </m:r>
        <m:sSub>
          <m:e>
            <m:r>
              <m:rPr>
                <m:sty m:val="p"/>
              </m:rPr>
              <m:t>Π</m:t>
            </m:r>
          </m:e>
          <m:sub>
            <m:r>
              <m:t>k</m:t>
            </m:r>
          </m:sub>
        </m:sSub>
        <m:r>
          <m:rPr>
            <m:sty m:val="p"/>
          </m:rPr>
          <m:t>(</m:t>
        </m:r>
        <m:sSub>
          <m:e>
            <m:r>
              <m:t>f</m:t>
            </m:r>
          </m:e>
          <m:sub>
            <m:r>
              <m:t>k</m:t>
            </m:r>
          </m:sub>
        </m:sSub>
        <m:r>
          <m:rPr>
            <m:sty m:val="p"/>
          </m:rPr>
          <m:t>(</m:t>
        </m:r>
        <m:sSub>
          <m:e>
            <m:r>
              <m:rPr>
                <m:sty m:val="bi"/>
              </m:rPr>
              <m:t>x</m:t>
            </m:r>
          </m:e>
          <m:sub>
            <m:r>
              <m:rPr>
                <m:sty m:val="p"/>
              </m:rPr>
              <m:t>⋆</m:t>
            </m:r>
          </m:sub>
        </m:sSub>
        <m:r>
          <m:rPr>
            <m:sty m:val="p"/>
          </m:rPr>
          <m:t>)</m:t>
        </m:r>
        <m:r>
          <m:rPr>
            <m:sty m:val="p"/>
          </m:rPr>
          <m:t>)</m:t>
        </m:r>
      </m:oMath>
      <w:r>
        <w:t xml:space="preserve"> </w:t>
      </w:r>
      <w:r>
        <w:t xml:space="preserve">where</w:t>
      </w:r>
      <w:r>
        <w:t xml:space="preserve"> </w:t>
      </w:r>
      <m:oMath>
        <m:sSub>
          <m:e>
            <m:r>
              <m:rPr>
                <m:sty m:val="p"/>
              </m:rPr>
              <m:t>Π</m:t>
            </m:r>
          </m:e>
          <m:sub>
            <m:r>
              <m:t>k</m:t>
            </m:r>
          </m:sub>
        </m:sSub>
      </m:oMath>
      <w:r>
        <w:t xml:space="preserve"> </w:t>
      </w:r>
      <w:r>
        <w:t xml:space="preserve">clips or bounds predictions to simulator-feasible ranges (§</w:t>
      </w:r>
      <w:hyperlink w:anchor="sec:setup">
        <w:r>
          <w:rPr>
            <w:rStyle w:val="Hyperlink"/>
          </w:rPr>
          <w:t xml:space="preserve">[sec:setup]</w:t>
        </w:r>
      </w:hyperlink>
      <w:r>
        <w:t xml:space="preserve">).</w:t>
      </w:r>
      <w:r>
        <w:t xml:space="preserve"> </w:t>
      </w:r>
      <w:r>
        <w:t xml:space="preserve">We fit</w:t>
      </w:r>
      <w:r>
        <w:t xml:space="preserve"> </w:t>
      </w:r>
      <w:r>
        <w:rPr>
          <w:i/>
          <w:iCs/>
        </w:rPr>
        <w:t xml:space="preserve">one surrogate per KPI</w:t>
      </w:r>
      <w:r>
        <w:t xml:space="preserve"> </w:t>
      </w:r>
      <w:r>
        <w:t xml:space="preserve">rather than a joint vector regressor: each</w:t>
      </w:r>
      <w:r>
        <w:t xml:space="preserve"> </w:t>
      </w:r>
      <m:oMath>
        <m:sSub>
          <m:e>
            <m:r>
              <m:t>f</m:t>
            </m:r>
          </m:e>
          <m:sub>
            <m:r>
              <m:t>k</m:t>
            </m:r>
          </m:sub>
        </m:sSub>
      </m:oMath>
      <w:r>
        <w:t xml:space="preserve"> </w:t>
      </w:r>
      <w:r>
        <w:t xml:space="preserve">is selected and tuned independently while sharing</w:t>
      </w:r>
      <w:r>
        <w:t xml:space="preserve"> </w:t>
      </w:r>
      <m:oMath>
        <m:r>
          <m:rPr>
            <m:sty m:val="bi"/>
          </m:rPr>
          <m:t>X</m:t>
        </m:r>
      </m:oMath>
      <w:r>
        <w:t xml:space="preserve">, which avoids forcing a single hypothesis class across heterogeneous targets (transit hours vs. unitless utilisation) and isolates failure modes to one KPI.</w:t>
      </w:r>
      <w:r>
        <w:t xml:space="preserve"> </w:t>
      </w:r>
      <w:r>
        <w:t xml:space="preserve">The multi-output map is therefore a tuple</w:t>
      </w:r>
      <w:r>
        <w:t xml:space="preserve"> </w:t>
      </w:r>
      <m:oMath>
        <m:r>
          <m:rPr>
            <m:sty m:val="p"/>
          </m:rPr>
          <m:t>(</m:t>
        </m:r>
        <m:sSub>
          <m:e>
            <m:r>
              <m:t>f</m:t>
            </m:r>
          </m:e>
          <m:sub>
            <m:r>
              <m:t>1</m:t>
            </m:r>
          </m:sub>
        </m:sSub>
        <m:r>
          <m:rPr>
            <m:sty m:val="p"/>
          </m:rPr>
          <m:t>,</m:t>
        </m:r>
        <m:r>
          <m:rPr>
            <m:sty m:val="p"/>
          </m:rPr>
          <m:t>…</m:t>
        </m:r>
        <m:r>
          <m:rPr>
            <m:sty m:val="p"/>
          </m:rPr>
          <m:t>,</m:t>
        </m:r>
        <m:sSub>
          <m:e>
            <m:r>
              <m:t>f</m:t>
            </m:r>
          </m:e>
          <m:sub>
            <m:r>
              <m:t>K</m:t>
            </m:r>
          </m:sub>
        </m:sSub>
        <m:r>
          <m:rPr>
            <m:sty m:val="p"/>
          </m:rPr>
          <m:t>)</m:t>
        </m:r>
      </m:oMath>
      <w:r>
        <w:t xml:space="preserve"> </w:t>
      </w:r>
      <w:r>
        <w:t xml:space="preserve">of regressors, not a single shared representation layer.</w:t>
      </w:r>
      <w:r>
        <w:t xml:space="preserve"> </w:t>
      </w:r>
      <w:r>
        <w:t xml:space="preserve">Crosswalks map feature indices to domain labels for SHAP and the UI without altering</w:t>
      </w:r>
      <w:r>
        <w:t xml:space="preserve"> </w:t>
      </w:r>
      <m:oMath>
        <m:r>
          <m:rPr>
            <m:sty m:val="bi"/>
          </m:rPr>
          <m:t>X</m:t>
        </m:r>
      </m:oMath>
      <w:r>
        <w:t xml:space="preserve">.</w:t>
      </w:r>
      <w:r>
        <w:t xml:space="preserve"> </w:t>
      </w:r>
      <w:r>
        <w:t xml:space="preserve">On validation</w:t>
      </w:r>
      <w:r>
        <w:t xml:space="preserve"> </w:t>
      </w:r>
      <m:oMath>
        <m:r>
          <m:rPr>
            <m:scr m:val="script"/>
            <m:sty m:val="p"/>
          </m:rPr>
          <m:t>V</m:t>
        </m:r>
      </m:oMath>
      <w:r>
        <w:t xml:space="preserve">,</w:t>
      </w:r>
      <w:r>
        <w:t xml:space="preserve"> </w:t>
      </w:r>
      <m:oMath>
        <m:sSub>
          <m:e>
            <m:r>
              <m:rPr>
                <m:sty m:val="p"/>
              </m:rPr>
              <m:t>R</m:t>
            </m:r>
            <m:r>
              <m:rPr>
                <m:sty m:val="p"/>
              </m:rPr>
              <m:t>M</m:t>
            </m:r>
            <m:r>
              <m:rPr>
                <m:sty m:val="p"/>
              </m:rPr>
              <m:t>S</m:t>
            </m:r>
            <m:r>
              <m:rPr>
                <m:sty m:val="p"/>
              </m:rPr>
              <m:t>E</m:t>
            </m:r>
          </m:e>
          <m:sub>
            <m:r>
              <m:t>k</m:t>
            </m:r>
          </m:sub>
        </m:sSub>
        <m:r>
          <m:rPr>
            <m:sty m:val="p"/>
          </m:rPr>
          <m:t>=</m:t>
        </m:r>
        <m:rad>
          <m:radPr>
            <m:degHide m:val="on"/>
          </m:radPr>
          <m:deg/>
          <m:e>
            <m:r>
              <m:rPr>
                <m:sty m:val="p"/>
              </m:rPr>
              <m:t>|</m:t>
            </m:r>
            <m:r>
              <m:rPr>
                <m:scr m:val="script"/>
                <m:sty m:val="p"/>
              </m:rPr>
              <m:t>V</m:t>
            </m:r>
            <m:sSup>
              <m:e>
                <m:r>
                  <m:rPr>
                    <m:sty m:val="p"/>
                  </m:rPr>
                  <m:t>|</m:t>
                </m:r>
              </m:e>
              <m:sup>
                <m:r>
                  <m:rPr>
                    <m:sty m:val="p"/>
                  </m:rPr>
                  <m:t>−</m:t>
                </m:r>
                <m:r>
                  <m:t>1</m:t>
                </m:r>
              </m:sup>
            </m:sSup>
            <m:nary>
              <m:naryPr>
                <m:chr m:val="∑"/>
                <m:limLoc m:val="undOvr"/>
                <m:subHide m:val="off"/>
                <m:supHide m:val="on"/>
              </m:naryPr>
              <m:sub>
                <m:r>
                  <m:t>i</m:t>
                </m:r>
                <m:r>
                  <m:rPr>
                    <m:sty m:val="p"/>
                  </m:rPr>
                  <m:t>∈</m:t>
                </m:r>
                <m:r>
                  <m:rPr>
                    <m:scr m:val="script"/>
                    <m:sty m:val="p"/>
                  </m:rPr>
                  <m:t>V</m:t>
                </m:r>
              </m:sub>
              <m:sup>
                <m:r>
                  <m:t>​</m:t>
                </m:r>
              </m:sup>
              <m:e>
                <m:r>
                  <m:rPr>
                    <m:sty m:val="p"/>
                  </m:rPr>
                  <m:t>(</m:t>
                </m:r>
              </m:e>
            </m:nary>
            <m:sSub>
              <m:e>
                <m:r>
                  <m:t>y</m:t>
                </m:r>
              </m:e>
              <m:sub>
                <m:r>
                  <m:t>i</m:t>
                </m:r>
                <m:r>
                  <m:rPr>
                    <m:sty m:val="p"/>
                  </m:rPr>
                  <m:t>,</m:t>
                </m:r>
                <m:r>
                  <m:t>k</m:t>
                </m:r>
              </m:sub>
            </m:sSub>
            <m:r>
              <m:rPr>
                <m:sty m:val="p"/>
              </m:rPr>
              <m:t>−</m:t>
            </m:r>
            <m:sSub>
              <m:e>
                <m:acc>
                  <m:accPr>
                    <m:chr m:val="̂"/>
                  </m:accPr>
                  <m:e>
                    <m:r>
                      <m:t>y</m:t>
                    </m:r>
                  </m:e>
                </m:acc>
              </m:e>
              <m:sub>
                <m:r>
                  <m:t>i</m:t>
                </m:r>
                <m:r>
                  <m:rPr>
                    <m:sty m:val="p"/>
                  </m:rPr>
                  <m:t>,</m:t>
                </m:r>
                <m:r>
                  <m:t>k</m:t>
                </m:r>
              </m:sub>
            </m:sSub>
            <m:sSup>
              <m:e>
                <m:r>
                  <m:rPr>
                    <m:sty m:val="p"/>
                  </m:rPr>
                  <m:t>)</m:t>
                </m:r>
              </m:e>
              <m:sup>
                <m:r>
                  <m:t>2</m:t>
                </m:r>
              </m:sup>
            </m:sSup>
          </m:e>
        </m:rad>
      </m:oMath>
      <w:r>
        <w:t xml:space="preserve"> </w:t>
      </w:r>
      <w:r>
        <w:t xml:space="preserve">is the primary tuning objective; MAE and</w:t>
      </w:r>
      <w:r>
        <w:t xml:space="preserve"> </w:t>
      </w:r>
      <m:oMath>
        <m:sSup>
          <m:e>
            <m:r>
              <m:t>R</m:t>
            </m:r>
          </m:e>
          <m:sup>
            <m:r>
              <m:t>2</m:t>
            </m:r>
          </m:sup>
        </m:sSup>
      </m:oMath>
      <w:r>
        <w:t xml:space="preserve"> </w:t>
      </w:r>
      <w:r>
        <w:t xml:space="preserve">on</w:t>
      </w:r>
      <w:r>
        <w:t xml:space="preserve"> </w:t>
      </w:r>
      <m:oMath>
        <m:sSub>
          <m:e>
            <m:r>
              <m:rPr>
                <m:scr m:val="script"/>
                <m:sty m:val="p"/>
              </m:rPr>
              <m:t>D</m:t>
            </m:r>
          </m:e>
          <m:sub>
            <m:r>
              <m:rPr>
                <m:sty m:val="p"/>
              </m:rPr>
              <m:t>t</m:t>
            </m:r>
            <m:r>
              <m:rPr>
                <m:sty m:val="p"/>
              </m:rPr>
              <m:t>e</m:t>
            </m:r>
          </m:sub>
        </m:sSub>
      </m:oMath>
      <w:r>
        <w:t xml:space="preserve"> </w:t>
      </w:r>
      <w:r>
        <w:t xml:space="preserve">complement RMSE for skewed wait-time KPIs.</w:t>
      </w:r>
      <w:r>
        <w:t xml:space="preserve"> </w:t>
      </w:r>
      <w:r>
        <w:t xml:space="preserve">Hyperparameter search minimises mean CV RMSE across</w:t>
      </w:r>
      <w:r>
        <w:t xml:space="preserve"> </w:t>
      </w:r>
      <m:oMath>
        <m:r>
          <m:t>30</m:t>
        </m:r>
      </m:oMath>
      <w:r>
        <w:t xml:space="preserve"> </w:t>
      </w:r>
      <w:r>
        <w:t xml:space="preserve">fold scores, tie-breaking on lower fold-wise RMSE standard deviation when means tie.</w:t>
      </w:r>
    </w:p>
    <w:bookmarkEnd w:id="34"/>
    <w:bookmarkStart w:id="35" w:name="sec:method-protocol"/>
    <w:p>
      <w:pPr>
        <w:pStyle w:val="Heading2"/>
      </w:pPr>
      <w:r>
        <w:t xml:space="preserve">Training protocol and hyperparameter search</w:t>
      </w:r>
    </w:p>
    <w:p>
      <w:pPr>
        <w:pStyle w:val="FirstParagraph"/>
      </w:pPr>
      <w:r>
        <w:t xml:space="preserve">Indices are permuted once (</w:t>
      </w:r>
      <w:r>
        <w:rPr>
          <w:rStyle w:val="VerbatimChar"/>
        </w:rPr>
        <w:t xml:space="preserve">random_state=42</w:t>
      </w:r>
      <w:r>
        <w:t xml:space="preserve">;</w:t>
      </w:r>
      <w:r>
        <w:t xml:space="preserve"> </w:t>
      </w:r>
      <w:r>
        <w:rPr>
          <w:rStyle w:val="VerbatimChar"/>
        </w:rPr>
        <w:t xml:space="preserve">split_meta.json</w:t>
      </w:r>
      <w:r>
        <w:t xml:space="preserve">) into</w:t>
      </w:r>
      <w:r>
        <w:t xml:space="preserve"> </w:t>
      </w:r>
      <m:oMath>
        <m:sSub>
          <m:e>
            <m:r>
              <m:rPr>
                <m:scr m:val="script"/>
                <m:sty m:val="p"/>
              </m:rPr>
              <m:t>D</m:t>
            </m:r>
          </m:e>
          <m:sub>
            <m:r>
              <m:rPr>
                <m:sty m:val="p"/>
              </m:rPr>
              <m:t>t</m:t>
            </m:r>
            <m:r>
              <m:rPr>
                <m:sty m:val="p"/>
              </m:rPr>
              <m:t>r</m:t>
            </m:r>
          </m:sub>
        </m:sSub>
      </m:oMath>
      <w:r>
        <w:t xml:space="preserve"> </w:t>
      </w:r>
      <w:r>
        <w:t xml:space="preserve">and</w:t>
      </w:r>
      <w:r>
        <w:t xml:space="preserve"> </w:t>
      </w:r>
      <m:oMath>
        <m:sSub>
          <m:e>
            <m:r>
              <m:rPr>
                <m:scr m:val="script"/>
                <m:sty m:val="p"/>
              </m:rPr>
              <m:t>D</m:t>
            </m:r>
          </m:e>
          <m:sub>
            <m:r>
              <m:rPr>
                <m:sty m:val="p"/>
              </m:rPr>
              <m:t>t</m:t>
            </m:r>
            <m:r>
              <m:rPr>
                <m:sty m:val="p"/>
              </m:rPr>
              <m:t>e</m:t>
            </m:r>
          </m:sub>
        </m:sSub>
      </m:oMath>
      <w:r>
        <w:t xml:space="preserve"> </w:t>
      </w:r>
      <w:r>
        <w:t xml:space="preserve">(sizes in Appendix </w:t>
      </w:r>
      <w:hyperlink w:anchor="app:supp">
        <w:r>
          <w:rPr>
            <w:rStyle w:val="Hyperlink"/>
          </w:rPr>
          <w:t xml:space="preserve">10</w:t>
        </w:r>
      </w:hyperlink>
      <w:r>
        <w:t xml:space="preserve">).</w:t>
      </w:r>
      <w:r>
        <w:t xml:space="preserve"> </w:t>
      </w:r>
      <m:oMath>
        <m:sSub>
          <m:e>
            <m:r>
              <m:rPr>
                <m:scr m:val="script"/>
                <m:sty m:val="p"/>
              </m:rPr>
              <m:t>D</m:t>
            </m:r>
          </m:e>
          <m:sub>
            <m:r>
              <m:rPr>
                <m:sty m:val="p"/>
              </m:rPr>
              <m:t>t</m:t>
            </m:r>
            <m:r>
              <m:rPr>
                <m:sty m:val="p"/>
              </m:rPr>
              <m:t>e</m:t>
            </m:r>
          </m:sub>
        </m:sSub>
      </m:oMath>
      <w:r>
        <w:t xml:space="preserve"> </w:t>
      </w:r>
      <w:r>
        <w:t xml:space="preserve">is excluded from CV,</w:t>
      </w:r>
      <w:r>
        <w:t xml:space="preserve"> </w:t>
      </w:r>
      <w:r>
        <w:rPr>
          <w:rStyle w:val="VerbatimChar"/>
        </w:rPr>
        <w:t xml:space="preserve">ParameterGrid</w:t>
      </w:r>
      <w:r>
        <w:t xml:space="preserve"> </w:t>
      </w:r>
      <w:r>
        <w:t xml:space="preserve">search, scaler fitting, Friedman/Nemenyi blocks, and</w:t>
      </w:r>
      <w:r>
        <w:t xml:space="preserve"> </w:t>
      </w:r>
      <w:r>
        <w:rPr>
          <w:rStyle w:val="VerbatimChar"/>
        </w:rPr>
        <w:t xml:space="preserve">composite_pre_test</w:t>
      </w:r>
      <w:r>
        <w:t xml:space="preserve">; it is used only for final metrics and interval calibration (§</w:t>
      </w:r>
      <w:hyperlink w:anchor="sec:experiments">
        <w:r>
          <w:rPr>
            <w:rStyle w:val="Hyperlink"/>
          </w:rPr>
          <w:t xml:space="preserve">6</w:t>
        </w:r>
      </w:hyperlink>
      <w:r>
        <w:t xml:space="preserve">).</w:t>
      </w:r>
      <w:r>
        <w:t xml:space="preserve"> </w:t>
      </w:r>
      <w:r>
        <w:t xml:space="preserve">All</w:t>
      </w:r>
      <w:r>
        <w:t xml:space="preserve"> </w:t>
      </w:r>
      <m:oMath>
        <m:r>
          <m:t>d</m:t>
        </m:r>
      </m:oMath>
      <w:r>
        <w:t xml:space="preserve"> </w:t>
      </w:r>
      <w:r>
        <w:t xml:space="preserve">parameters enter as numeric features without PCA.</w:t>
      </w:r>
      <w:r>
        <w:t xml:space="preserve"> </w:t>
      </w:r>
      <w:r>
        <w:rPr>
          <w:rStyle w:val="VerbatimChar"/>
        </w:rPr>
        <w:t xml:space="preserve">StandardScaler</w:t>
      </w:r>
      <w:r>
        <w:t xml:space="preserve"> </w:t>
      </w:r>
      <w:r>
        <w:t xml:space="preserve">is fit on</w:t>
      </w:r>
      <w:r>
        <w:t xml:space="preserve"> </w:t>
      </w:r>
      <m:oMath>
        <m:sSub>
          <m:e>
            <m:r>
              <m:rPr>
                <m:sty m:val="bi"/>
              </m:rPr>
              <m:t>X</m:t>
            </m:r>
          </m:e>
          <m:sub>
            <m:sSub>
              <m:e>
                <m:r>
                  <m:rPr>
                    <m:scr m:val="script"/>
                    <m:sty m:val="p"/>
                  </m:rPr>
                  <m:t>D</m:t>
                </m:r>
              </m:e>
              <m:sub>
                <m:r>
                  <m:rPr>
                    <m:sty m:val="p"/>
                  </m:rPr>
                  <m:t>t</m:t>
                </m:r>
                <m:r>
                  <m:rPr>
                    <m:sty m:val="p"/>
                  </m:rPr>
                  <m:t>r</m:t>
                </m:r>
              </m:sub>
            </m:sSub>
          </m:sub>
        </m:sSub>
      </m:oMath>
      <w:r>
        <w:t xml:space="preserve"> </w:t>
      </w:r>
      <w:r>
        <w:t xml:space="preserve">for GPR, SVR, polynomial–Ridge, penalised linear models, KNN, MLP, and</w:t>
      </w:r>
      <w:r>
        <w:t xml:space="preserve"> </w:t>
      </w:r>
      <w:r>
        <w:rPr>
          <w:rStyle w:val="VerbatimChar"/>
        </w:rPr>
        <w:t xml:space="preserve">Baseline_OLS</w:t>
      </w:r>
      <w:r>
        <w:t xml:space="preserve">; trees and CatBoost use raw</w:t>
      </w:r>
      <w:r>
        <w:t xml:space="preserve"> </w:t>
      </w:r>
      <m:oMath>
        <m:r>
          <m:rPr>
            <m:sty m:val="bi"/>
          </m:rPr>
          <m:t>x</m:t>
        </m:r>
      </m:oMath>
      <w:r>
        <w:t xml:space="preserve">.</w:t>
      </w:r>
      <w:r>
        <w:t xml:space="preserve"> </w:t>
      </w:r>
      <w:r>
        <w:rPr>
          <w:b/>
          <w:bCs/>
        </w:rPr>
        <w:t xml:space="preserve">Repeated 10-fold CV</w:t>
      </w:r>
      <w:r>
        <w:t xml:space="preserve"> </w:t>
      </w:r>
      <w:r>
        <w:t xml:space="preserve">on</w:t>
      </w:r>
      <w:r>
        <w:t xml:space="preserve"> </w:t>
      </w:r>
      <m:oMath>
        <m:sSub>
          <m:e>
            <m:r>
              <m:rPr>
                <m:scr m:val="script"/>
                <m:sty m:val="p"/>
              </m:rPr>
              <m:t>D</m:t>
            </m:r>
          </m:e>
          <m:sub>
            <m:r>
              <m:rPr>
                <m:sty m:val="p"/>
              </m:rPr>
              <m:t>t</m:t>
            </m:r>
            <m:r>
              <m:rPr>
                <m:sty m:val="p"/>
              </m:rPr>
              <m:t>r</m:t>
            </m:r>
          </m:sub>
        </m:sSub>
      </m:oMath>
      <w:r>
        <w:t xml:space="preserve"> </w:t>
      </w:r>
      <w:r>
        <w:t xml:space="preserve">uses</w:t>
      </w:r>
      <w:r>
        <w:t xml:space="preserve"> </w:t>
      </w:r>
      <w:r>
        <w:rPr>
          <w:rStyle w:val="VerbatimChar"/>
        </w:rPr>
        <w:t xml:space="preserve">RepeatedKFold</w:t>
      </w:r>
      <w:r>
        <w:t xml:space="preserve"> </w:t>
      </w:r>
      <w:r>
        <w:t xml:space="preserve">with three repeats (</w:t>
      </w:r>
      <m:oMath>
        <m:r>
          <m:t>30</m:t>
        </m:r>
      </m:oMath>
      <w:r>
        <w:t xml:space="preserve"> </w:t>
      </w:r>
      <w:r>
        <w:t xml:space="preserve">RMSE values per configuration); every</w:t>
      </w:r>
      <w:r>
        <w:t xml:space="preserve"> </w:t>
      </w:r>
      <m:oMath>
        <m:r>
          <m:t>θ</m:t>
        </m:r>
        <m:r>
          <m:rPr>
            <m:sty m:val="p"/>
          </m:rPr>
          <m:t>∈</m:t>
        </m:r>
        <m:sSub>
          <m:e>
            <m:r>
              <m:rPr>
                <m:scr m:val="script"/>
                <m:sty m:val="p"/>
              </m:rPr>
              <m:t>G</m:t>
            </m:r>
          </m:e>
          <m:sub>
            <m:r>
              <m:t>m</m:t>
            </m:r>
          </m:sub>
        </m:sSub>
      </m:oMath>
      <w:r>
        <w:t xml:space="preserve"> </w:t>
      </w:r>
      <w:r>
        <w:t xml:space="preserve">is evaluated for each</w:t>
      </w:r>
      <w:r>
        <w:t xml:space="preserve"> </w:t>
      </w:r>
      <m:oMath>
        <m:r>
          <m:rPr>
            <m:sty m:val="p"/>
          </m:rPr>
          <m:t>(</m:t>
        </m:r>
        <m:r>
          <m:t>k</m:t>
        </m:r>
        <m:r>
          <m:rPr>
            <m:sty m:val="p"/>
          </m:rPr>
          <m:t>,</m:t>
        </m:r>
        <m:r>
          <m:t>m</m:t>
        </m:r>
        <m:r>
          <m:rPr>
            <m:sty m:val="p"/>
          </m:rPr>
          <m:t>)</m:t>
        </m:r>
      </m:oMath>
      <w:r>
        <w:t xml:space="preserve">.</w:t>
      </w:r>
      <w:r>
        <w:t xml:space="preserve"> </w:t>
      </w:r>
      <w:r>
        <w:t xml:space="preserve">The winning configuration minimises mean CV RMSE with the stability tie-break above.</w:t>
      </w:r>
      <w:r>
        <w:t xml:space="preserve"> </w:t>
      </w:r>
      <w:r>
        <w:t xml:space="preserve">Aligned fold-wise errors support paired</w:t>
      </w:r>
      <w:r>
        <w:t xml:space="preserve"> </w:t>
      </w:r>
      <m:oMath>
        <m:r>
          <m:t>t</m:t>
        </m:r>
      </m:oMath>
      <w:r>
        <w:t xml:space="preserve">-tests and are logged in</w:t>
      </w:r>
      <w:r>
        <w:t xml:space="preserve"> </w:t>
      </w:r>
      <w:r>
        <w:rPr>
          <w:rStyle w:val="VerbatimChar"/>
        </w:rPr>
        <w:t xml:space="preserve">cv_fold_details.xlsx</w:t>
      </w:r>
      <w:r>
        <w:t xml:space="preserve"> </w:t>
      </w:r>
      <w:r>
        <w:t xml:space="preserve">(Algorithm </w:t>
      </w:r>
      <w:hyperlink w:anchor="alg:cv-target">
        <w:r>
          <w:rPr>
            <w:rStyle w:val="Hyperlink"/>
          </w:rPr>
          <w:t xml:space="preserve">[alg:cv-target]</w:t>
        </w:r>
      </w:hyperlink>
      <w:r>
        <w:t xml:space="preserve">).</w:t>
      </w:r>
    </w:p>
    <w:bookmarkEnd w:id="35"/>
    <w:bookmarkStart w:id="36" w:name="sec:method-learners"/>
    <w:p>
      <w:pPr>
        <w:pStyle w:val="Heading2"/>
      </w:pPr>
      <w:r>
        <w:t xml:space="preserve">Surrogate learners</w:t>
      </w:r>
    </w:p>
    <w:p>
      <w:pPr>
        <w:pStyle w:val="FirstParagraph"/>
      </w:pPr>
      <w:r>
        <w:rPr>
          <w:rStyle w:val="VerbatimChar"/>
        </w:rPr>
        <w:t xml:space="preserve">Baseline_Mean</w:t>
      </w:r>
      <w:r>
        <w:t xml:space="preserve"> </w:t>
      </w:r>
      <w:r>
        <w:t xml:space="preserve">predicts the training mean;</w:t>
      </w:r>
      <w:r>
        <w:t xml:space="preserve"> </w:t>
      </w:r>
      <w:r>
        <w:rPr>
          <w:rStyle w:val="VerbatimChar"/>
        </w:rPr>
        <w:t xml:space="preserve">Baseline_OLS</w:t>
      </w:r>
      <w:r>
        <w:t xml:space="preserve"> </w:t>
      </w:r>
      <w:r>
        <w:t xml:space="preserve">is least squares on scaled features—both optional in paired checks, excluded from Friedman blocks over</w:t>
      </w:r>
      <w:r>
        <w:t xml:space="preserve"> </w:t>
      </w:r>
      <m:oMath>
        <m:r>
          <m:rPr>
            <m:scr m:val="script"/>
            <m:sty m:val="p"/>
          </m:rPr>
          <m:t>M</m:t>
        </m:r>
      </m:oMath>
      <w:r>
        <w:t xml:space="preserve"> </w:t>
      </w:r>
      <w:r>
        <w:t xml:space="preserve">(</w:t>
      </w:r>
      <m:oMath>
        <m:r>
          <m:rPr>
            <m:sty m:val="p"/>
          </m:rPr>
          <m:t>|</m:t>
        </m:r>
        <m:r>
          <m:rPr>
            <m:scr m:val="script"/>
            <m:sty m:val="p"/>
          </m:rPr>
          <m:t>M</m:t>
        </m:r>
        <m:r>
          <m:rPr>
            <m:sty m:val="p"/>
          </m:rPr>
          <m:t>|</m:t>
        </m:r>
        <m:r>
          <m:rPr>
            <m:sty m:val="p"/>
          </m:rPr>
          <m:t>=</m:t>
        </m:r>
        <m:r>
          <m:t>19</m:t>
        </m:r>
      </m:oMath>
      <w:r>
        <w:t xml:space="preserve">).</w:t>
      </w:r>
      <w:r>
        <w:t xml:space="preserve"> </w:t>
      </w:r>
      <w:r>
        <w:t xml:space="preserve">Each core family has a</w:t>
      </w:r>
      <w:r>
        <w:t xml:space="preserve"> </w:t>
      </w:r>
      <w:r>
        <w:rPr>
          <w:rStyle w:val="VerbatimChar"/>
        </w:rPr>
        <w:t xml:space="preserve">ParameterGrid</w:t>
      </w:r>
      <w:r>
        <w:t xml:space="preserve"> </w:t>
      </w:r>
      <w:r>
        <w:t xml:space="preserve">in</w:t>
      </w:r>
      <w:r>
        <w:t xml:space="preserve"> </w:t>
      </w:r>
      <w:r>
        <w:rPr>
          <w:rStyle w:val="VerbatimChar"/>
        </w:rPr>
        <w:t xml:space="preserve">models.py</w:t>
      </w:r>
      <w:r>
        <w:t xml:space="preserve"> </w:t>
      </w:r>
      <w:r>
        <w:t xml:space="preserve">and is trained for every</w:t>
      </w:r>
      <w:r>
        <w:t xml:space="preserve"> </w:t>
      </w:r>
      <m:oMath>
        <m:r>
          <m:t>k</m:t>
        </m:r>
      </m:oMath>
      <w:r>
        <w:t xml:space="preserve">:</w:t>
      </w:r>
      <w:r>
        <w:t xml:space="preserve"> </w:t>
      </w:r>
      <w:r>
        <w:rPr>
          <w:rStyle w:val="VerbatimChar"/>
        </w:rPr>
        <w:t xml:space="preserve">GPR_RBF</w:t>
      </w:r>
      <w:r>
        <w:t xml:space="preserve">,</w:t>
      </w:r>
      <w:r>
        <w:t xml:space="preserve"> </w:t>
      </w:r>
      <w:r>
        <w:rPr>
          <w:rStyle w:val="VerbatimChar"/>
        </w:rPr>
        <w:t xml:space="preserve">GPR_Matern</w:t>
      </w:r>
      <w:r>
        <w:t xml:space="preserve">,</w:t>
      </w:r>
      <w:r>
        <w:t xml:space="preserve"> </w:t>
      </w:r>
      <w:r>
        <w:rPr>
          <w:rStyle w:val="VerbatimChar"/>
        </w:rPr>
        <w:t xml:space="preserve">RandomForest</w:t>
      </w:r>
      <w:r>
        <w:t xml:space="preserve">,</w:t>
      </w:r>
      <w:r>
        <w:t xml:space="preserve"> </w:t>
      </w:r>
      <w:r>
        <w:rPr>
          <w:rStyle w:val="VerbatimChar"/>
        </w:rPr>
        <w:t xml:space="preserve">ExtraTrees</w:t>
      </w:r>
      <w:r>
        <w:t xml:space="preserve">,</w:t>
      </w:r>
      <w:r>
        <w:t xml:space="preserve"> </w:t>
      </w:r>
      <w:r>
        <w:rPr>
          <w:rStyle w:val="VerbatimChar"/>
        </w:rPr>
        <w:t xml:space="preserve">GradientBoosting</w:t>
      </w:r>
      <w:r>
        <w:t xml:space="preserve">,</w:t>
      </w:r>
      <w:r>
        <w:t xml:space="preserve"> </w:t>
      </w:r>
      <w:r>
        <w:rPr>
          <w:rStyle w:val="VerbatimChar"/>
        </w:rPr>
        <w:t xml:space="preserve">AdaBoost</w:t>
      </w:r>
      <w:r>
        <w:t xml:space="preserve">,</w:t>
      </w:r>
      <w:r>
        <w:t xml:space="preserve"> </w:t>
      </w:r>
      <w:r>
        <w:rPr>
          <w:rStyle w:val="VerbatimChar"/>
        </w:rPr>
        <w:t xml:space="preserve">XGBoost</w:t>
      </w:r>
      <w:r>
        <w:t xml:space="preserve">,</w:t>
      </w:r>
      <w:r>
        <w:t xml:space="preserve"> </w:t>
      </w:r>
      <w:r>
        <w:rPr>
          <w:rStyle w:val="VerbatimChar"/>
        </w:rPr>
        <w:t xml:space="preserve">LightGBM</w:t>
      </w:r>
      <w:r>
        <w:t xml:space="preserve">,</w:t>
      </w:r>
      <w:r>
        <w:t xml:space="preserve"> </w:t>
      </w:r>
      <w:r>
        <w:rPr>
          <w:rStyle w:val="VerbatimChar"/>
        </w:rPr>
        <w:t xml:space="preserve">CatBoost</w:t>
      </w:r>
      <w:r>
        <w:t xml:space="preserve">,</w:t>
      </w:r>
      <w:r>
        <w:t xml:space="preserve"> </w:t>
      </w:r>
      <w:r>
        <w:rPr>
          <w:rStyle w:val="VerbatimChar"/>
        </w:rPr>
        <w:t xml:space="preserve">SVR_RBF</w:t>
      </w:r>
      <w:r>
        <w:t xml:space="preserve">,</w:t>
      </w:r>
      <w:r>
        <w:t xml:space="preserve"> </w:t>
      </w:r>
      <w:r>
        <w:rPr>
          <w:rStyle w:val="VerbatimChar"/>
        </w:rPr>
        <w:t xml:space="preserve">SVR_Poly</w:t>
      </w:r>
      <w:r>
        <w:t xml:space="preserve">,</w:t>
      </w:r>
      <w:r>
        <w:t xml:space="preserve"> </w:t>
      </w:r>
      <w:r>
        <w:rPr>
          <w:rStyle w:val="VerbatimChar"/>
        </w:rPr>
        <w:t xml:space="preserve">PolynomialReg_deg2</w:t>
      </w:r>
      <w:r>
        <w:t xml:space="preserve">,</w:t>
      </w:r>
      <w:r>
        <w:t xml:space="preserve"> </w:t>
      </w:r>
      <w:r>
        <w:rPr>
          <w:rStyle w:val="VerbatimChar"/>
        </w:rPr>
        <w:t xml:space="preserve">PolynomialReg_deg3</w:t>
      </w:r>
      <w:r>
        <w:t xml:space="preserve">,</w:t>
      </w:r>
      <w:r>
        <w:t xml:space="preserve"> </w:t>
      </w:r>
      <w:r>
        <w:rPr>
          <w:rStyle w:val="VerbatimChar"/>
        </w:rPr>
        <w:t xml:space="preserve">Ridge</w:t>
      </w:r>
      <w:r>
        <w:t xml:space="preserve">,</w:t>
      </w:r>
      <w:r>
        <w:t xml:space="preserve"> </w:t>
      </w:r>
      <w:r>
        <w:rPr>
          <w:rStyle w:val="VerbatimChar"/>
        </w:rPr>
        <w:t xml:space="preserve">Lasso</w:t>
      </w:r>
      <w:r>
        <w:t xml:space="preserve">,</w:t>
      </w:r>
      <w:r>
        <w:t xml:space="preserve"> </w:t>
      </w:r>
      <w:r>
        <w:rPr>
          <w:rStyle w:val="VerbatimChar"/>
        </w:rPr>
        <w:t xml:space="preserve">ElasticNet</w:t>
      </w:r>
      <w:r>
        <w:t xml:space="preserve">,</w:t>
      </w:r>
      <w:r>
        <w:t xml:space="preserve"> </w:t>
      </w:r>
      <w:r>
        <w:rPr>
          <w:rStyle w:val="VerbatimChar"/>
        </w:rPr>
        <w:t xml:space="preserve">BayesianRidge</w:t>
      </w:r>
      <w:r>
        <w:t xml:space="preserve">,</w:t>
      </w:r>
      <w:r>
        <w:t xml:space="preserve"> </w:t>
      </w:r>
      <w:r>
        <w:rPr>
          <w:rStyle w:val="VerbatimChar"/>
        </w:rPr>
        <w:t xml:space="preserve">KNN</w:t>
      </w:r>
      <w:r>
        <w:t xml:space="preserve">, and</w:t>
      </w:r>
      <w:r>
        <w:t xml:space="preserve"> </w:t>
      </w:r>
      <w:r>
        <w:rPr>
          <w:rStyle w:val="VerbatimChar"/>
        </w:rPr>
        <w:t xml:space="preserve">MLP</w:t>
      </w:r>
      <w:r>
        <w:t xml:space="preserve">.</w:t>
      </w:r>
    </w:p>
    <w:p>
      <w:pPr>
        <w:pStyle w:val="BodyText"/>
      </w:pPr>
      <w:r>
        <w:rPr>
          <w:i/>
          <w:iCs/>
        </w:rPr>
        <w:t xml:space="preserve">Scaled linear and polynomial family.</w:t>
      </w:r>
      <w:r>
        <w:t xml:space="preserve"> </w:t>
      </w:r>
      <w:r>
        <w:rPr>
          <w:rStyle w:val="VerbatimChar"/>
        </w:rPr>
        <w:t xml:space="preserve">Ridge</w:t>
      </w:r>
      <w:r>
        <w:t xml:space="preserve">,</w:t>
      </w:r>
      <w:r>
        <w:t xml:space="preserve"> </w:t>
      </w:r>
      <w:r>
        <w:rPr>
          <w:rStyle w:val="VerbatimChar"/>
        </w:rPr>
        <w:t xml:space="preserve">Lasso</w:t>
      </w:r>
      <w:r>
        <w:t xml:space="preserve">, and</w:t>
      </w:r>
      <w:r>
        <w:t xml:space="preserve"> </w:t>
      </w:r>
      <w:r>
        <w:rPr>
          <w:rStyle w:val="VerbatimChar"/>
        </w:rPr>
        <w:t xml:space="preserve">ElasticNet</w:t>
      </w:r>
      <w:r>
        <w:t xml:space="preserve"> </w:t>
      </w:r>
      <w:r>
        <w:t xml:space="preserve">penalise</w:t>
      </w:r>
      <w:r>
        <w:t xml:space="preserve"> </w:t>
      </w:r>
      <m:oMath>
        <m:r>
          <m:rPr>
            <m:sty m:val="p"/>
          </m:rPr>
          <m:t>∥</m:t>
        </m:r>
        <m:r>
          <m:rPr>
            <m:sty m:val="bi"/>
          </m:rPr>
          <m:t>β</m:t>
        </m:r>
        <m:sSubSup>
          <m:e>
            <m:r>
              <m:rPr>
                <m:sty m:val="p"/>
              </m:rPr>
              <m:t>∥</m:t>
            </m:r>
          </m:e>
          <m:sub>
            <m:r>
              <m:t>2</m:t>
            </m:r>
          </m:sub>
          <m:sup>
            <m:r>
              <m:t>2</m:t>
            </m:r>
          </m:sup>
        </m:sSubSup>
      </m:oMath>
      <w:r>
        <w:t xml:space="preserve">,</w:t>
      </w:r>
      <w:r>
        <w:t xml:space="preserve"> </w:t>
      </w:r>
      <m:oMath>
        <m:r>
          <m:rPr>
            <m:sty m:val="p"/>
          </m:rPr>
          <m:t>∥</m:t>
        </m:r>
        <m:r>
          <m:rPr>
            <m:sty m:val="bi"/>
          </m:rPr>
          <m:t>β</m:t>
        </m:r>
        <m:sSub>
          <m:e>
            <m:r>
              <m:rPr>
                <m:sty m:val="p"/>
              </m:rPr>
              <m:t>∥</m:t>
            </m:r>
          </m:e>
          <m:sub>
            <m:r>
              <m:t>1</m:t>
            </m:r>
          </m:sub>
        </m:sSub>
      </m:oMath>
      <w:r>
        <w:t xml:space="preserve">, or both with log-spaced</w:t>
      </w:r>
      <w:r>
        <w:t xml:space="preserve"> </w:t>
      </w:r>
      <m:oMath>
        <m:r>
          <m:t>α</m:t>
        </m:r>
      </m:oMath>
      <w:r>
        <w:t xml:space="preserve"> </w:t>
      </w:r>
      <w:r>
        <w:t xml:space="preserve">(and</w:t>
      </w:r>
      <w:r>
        <w:t xml:space="preserve"> </w:t>
      </w:r>
      <m:oMath>
        <m:sSub>
          <m:e>
            <m:r>
              <m:t>ℓ</m:t>
            </m:r>
          </m:e>
          <m:sub>
            <m:r>
              <m:t>1</m:t>
            </m:r>
          </m:sub>
        </m:sSub>
      </m:oMath>
      <w:r>
        <w:t xml:space="preserve"> </w:t>
      </w:r>
      <w:r>
        <w:t xml:space="preserve">ratio for elastic net).</w:t>
      </w:r>
      <w:r>
        <w:t xml:space="preserve"> </w:t>
      </w:r>
      <w:r>
        <w:rPr>
          <w:rStyle w:val="VerbatimChar"/>
        </w:rPr>
        <w:t xml:space="preserve">BayesianRidge</w:t>
      </w:r>
      <w:r>
        <w:t xml:space="preserve"> </w:t>
      </w:r>
      <w:r>
        <w:t xml:space="preserve">uses Gaussian coefficient priors;</w:t>
      </w:r>
      <w:r>
        <w:t xml:space="preserve"> </w:t>
      </w:r>
      <w:r>
        <w:rPr>
          <w:rStyle w:val="VerbatimChar"/>
        </w:rPr>
        <w:t xml:space="preserve">PolynomialReg_deg2/deg3</w:t>
      </w:r>
      <w:r>
        <w:t xml:space="preserve"> </w:t>
      </w:r>
      <w:r>
        <w:t xml:space="preserve">use</w:t>
      </w:r>
      <w:r>
        <w:t xml:space="preserve"> </w:t>
      </w:r>
      <w:r>
        <w:rPr>
          <w:rStyle w:val="VerbatimChar"/>
        </w:rPr>
        <w:t xml:space="preserve">PolynomialFeatures</w:t>
      </w:r>
      <w:r>
        <w:t xml:space="preserve"> </w:t>
      </w:r>
      <w:r>
        <w:t xml:space="preserve">plus</w:t>
      </w:r>
      <w:r>
        <w:t xml:space="preserve"> </w:t>
      </w:r>
      <w:r>
        <w:rPr>
          <w:rStyle w:val="VerbatimChar"/>
        </w:rPr>
        <w:t xml:space="preserve">Ridge</w:t>
      </w:r>
      <w:r>
        <w:t xml:space="preserve"> </w:t>
      </w:r>
      <w:r>
        <w:t xml:space="preserve">(often strong on wait-time KPIs; §</w:t>
      </w:r>
      <w:hyperlink w:anchor="sec:experiments">
        <w:r>
          <w:rPr>
            <w:rStyle w:val="Hyperlink"/>
          </w:rPr>
          <w:t xml:space="preserve">6</w:t>
        </w:r>
      </w:hyperlink>
      <w:r>
        <w:t xml:space="preserve">).</w:t>
      </w:r>
    </w:p>
    <w:p>
      <w:pPr>
        <w:pStyle w:val="BodyText"/>
      </w:pPr>
      <w:r>
        <w:rPr>
          <w:i/>
          <w:iCs/>
        </w:rPr>
        <w:t xml:space="preserve">Tree ensembles and gradient boosting.</w:t>
      </w:r>
      <w:r>
        <w:t xml:space="preserve"> </w:t>
      </w:r>
      <w:r>
        <w:rPr>
          <w:rStyle w:val="VerbatimChar"/>
        </w:rPr>
        <w:t xml:space="preserve">RandomForest</w:t>
      </w:r>
      <w:r>
        <w:t xml:space="preserve"> </w:t>
      </w:r>
      <w:r>
        <w:t xml:space="preserve">and</w:t>
      </w:r>
      <w:r>
        <w:t xml:space="preserve"> </w:t>
      </w:r>
      <w:r>
        <w:rPr>
          <w:rStyle w:val="VerbatimChar"/>
        </w:rPr>
        <w:t xml:space="preserve">ExtraTrees</w:t>
      </w:r>
      <w:r>
        <w:t xml:space="preserve"> </w:t>
      </w:r>
      <w:r>
        <w:t xml:space="preserve">bag depth-limited trees</w:t>
      </w:r>
      <w:r>
        <w:t xml:space="preserve"> </w:t>
      </w:r>
      <w:r>
        <w:t xml:space="preserve">(Breiman 2001)</w:t>
      </w:r>
      <w:r>
        <w:t xml:space="preserve">;</w:t>
      </w:r>
      <w:r>
        <w:t xml:space="preserve"> </w:t>
      </w:r>
      <w:r>
        <w:rPr>
          <w:rStyle w:val="VerbatimChar"/>
        </w:rPr>
        <w:t xml:space="preserve">GradientBoosting</w:t>
      </w:r>
      <w:r>
        <w:t xml:space="preserve">,</w:t>
      </w:r>
      <w:r>
        <w:t xml:space="preserve"> </w:t>
      </w:r>
      <w:r>
        <w:rPr>
          <w:rStyle w:val="VerbatimChar"/>
        </w:rPr>
        <w:t xml:space="preserve">AdaBoost</w:t>
      </w:r>
      <w:r>
        <w:t xml:space="preserve">,</w:t>
      </w:r>
      <w:r>
        <w:t xml:space="preserve"> </w:t>
      </w:r>
      <w:r>
        <w:rPr>
          <w:rStyle w:val="VerbatimChar"/>
        </w:rPr>
        <w:t xml:space="preserve">XGBoost</w:t>
      </w:r>
      <w:r>
        <w:t xml:space="preserve">, and</w:t>
      </w:r>
      <w:r>
        <w:t xml:space="preserve"> </w:t>
      </w:r>
      <w:r>
        <w:rPr>
          <w:rStyle w:val="VerbatimChar"/>
        </w:rPr>
        <w:t xml:space="preserve">LightGBM</w:t>
      </w:r>
      <w:r>
        <w:t xml:space="preserve"> </w:t>
      </w:r>
      <w:r>
        <w:t xml:space="preserve">add stage-wise boosting</w:t>
      </w:r>
      <w:r>
        <w:t xml:space="preserve"> </w:t>
      </w:r>
      <w:r>
        <w:t xml:space="preserve">(Friedman 2001b; Chen and Guestrin 2016; Ke et al. 2017)</w:t>
      </w:r>
      <w:r>
        <w:t xml:space="preserve">.</w:t>
      </w:r>
      <w:r>
        <w:t xml:space="preserve"> </w:t>
      </w:r>
      <w:r>
        <w:t xml:space="preserve">All use raw</w:t>
      </w:r>
      <w:r>
        <w:t xml:space="preserve"> </w:t>
      </w:r>
      <m:oMath>
        <m:r>
          <m:rPr>
            <m:sty m:val="bi"/>
          </m:rPr>
          <m:t>x</m:t>
        </m:r>
      </m:oMath>
      <w:r>
        <w:t xml:space="preserve"> </w:t>
      </w:r>
      <w:r>
        <w:t xml:space="preserve">and frequently lead CV for transit-time targets (§</w:t>
      </w:r>
      <w:hyperlink w:anchor="sec:experiments">
        <w:r>
          <w:rPr>
            <w:rStyle w:val="Hyperlink"/>
          </w:rPr>
          <w:t xml:space="preserve">6</w:t>
        </w:r>
      </w:hyperlink>
      <w:r>
        <w:t xml:space="preserve">).</w:t>
      </w:r>
    </w:p>
    <w:p>
      <w:pPr>
        <w:pStyle w:val="BodyText"/>
      </w:pPr>
      <w:r>
        <w:rPr>
          <w:i/>
          <w:iCs/>
        </w:rPr>
        <w:t xml:space="preserve">Kernel, neighbourhood, and neural surrogates.</w:t>
      </w:r>
      <w:r>
        <w:t xml:space="preserve"> </w:t>
      </w:r>
      <w:r>
        <w:rPr>
          <w:rStyle w:val="VerbatimChar"/>
        </w:rPr>
        <w:t xml:space="preserve">SVR_RBF</w:t>
      </w:r>
      <w:r>
        <w:t xml:space="preserve"> </w:t>
      </w:r>
      <w:r>
        <w:t xml:space="preserve">and</w:t>
      </w:r>
      <w:r>
        <w:t xml:space="preserve"> </w:t>
      </w:r>
      <w:r>
        <w:rPr>
          <w:rStyle w:val="VerbatimChar"/>
        </w:rPr>
        <w:t xml:space="preserve">SVR_Poly</w:t>
      </w:r>
      <w:r>
        <w:t xml:space="preserve"> </w:t>
      </w:r>
      <w:r>
        <w:t xml:space="preserve">implement</w:t>
      </w:r>
      <w:r>
        <w:t xml:space="preserve"> </w:t>
      </w:r>
      <m:oMath>
        <m:r>
          <m:t>ϵ</m:t>
        </m:r>
      </m:oMath>
      <w:r>
        <w:t xml:space="preserve">-insensitive RKHS regression with grids over</w:t>
      </w:r>
      <w:r>
        <w:t xml:space="preserve"> </w:t>
      </w:r>
      <m:oMath>
        <m:r>
          <m:t>C</m:t>
        </m:r>
      </m:oMath>
      <w:r>
        <w:t xml:space="preserve">,</w:t>
      </w:r>
      <w:r>
        <w:t xml:space="preserve"> </w:t>
      </w:r>
      <m:oMath>
        <m:r>
          <m:t>ϵ</m:t>
        </m:r>
      </m:oMath>
      <w:r>
        <w:t xml:space="preserve">, and kernel hyperparameters on scaled inputs.</w:t>
      </w:r>
      <w:r>
        <w:t xml:space="preserve"> </w:t>
      </w:r>
      <w:r>
        <w:rPr>
          <w:rStyle w:val="VerbatimChar"/>
        </w:rPr>
        <w:t xml:space="preserve">KNN</w:t>
      </w:r>
      <w:r>
        <w:t xml:space="preserve"> </w:t>
      </w:r>
      <w:r>
        <w:t xml:space="preserve">averages</w:t>
      </w:r>
      <w:r>
        <w:t xml:space="preserve"> </w:t>
      </w:r>
      <m:oMath>
        <m:r>
          <m:t>k</m:t>
        </m:r>
        <m:r>
          <m:rPr>
            <m:sty m:val="p"/>
          </m:rPr>
          <m:t>∈</m:t>
        </m:r>
        <m:r>
          <m:rPr>
            <m:sty m:val="p"/>
          </m:rPr>
          <m:t>{</m:t>
        </m:r>
        <m:r>
          <m:t>3</m:t>
        </m:r>
        <m:r>
          <m:rPr>
            <m:sty m:val="p"/>
          </m:rPr>
          <m:t>,</m:t>
        </m:r>
        <m:r>
          <m:t>5</m:t>
        </m:r>
        <m:r>
          <m:rPr>
            <m:sty m:val="p"/>
          </m:rPr>
          <m:t>,</m:t>
        </m:r>
        <m:r>
          <m:t>7</m:t>
        </m:r>
        <m:r>
          <m:rPr>
            <m:sty m:val="p"/>
          </m:rPr>
          <m:t>,</m:t>
        </m:r>
        <m:r>
          <m:t>10</m:t>
        </m:r>
        <m:r>
          <m:rPr>
            <m:sty m:val="p"/>
          </m:rPr>
          <m:t>,</m:t>
        </m:r>
        <m:r>
          <m:t>15</m:t>
        </m:r>
        <m:r>
          <m:rPr>
            <m:sty m:val="p"/>
          </m:rPr>
          <m:t>}</m:t>
        </m:r>
      </m:oMath>
      <w:r>
        <w:t xml:space="preserve"> </w:t>
      </w:r>
      <w:r>
        <w:t xml:space="preserve">neighbours with uniform or distance weights and</w:t>
      </w:r>
      <w:r>
        <w:t xml:space="preserve"> </w:t>
      </w:r>
      <m:oMath>
        <m:sSub>
          <m:e>
            <m:r>
              <m:t>L</m:t>
            </m:r>
          </m:e>
          <m:sub>
            <m:r>
              <m:t>1</m:t>
            </m:r>
          </m:sub>
        </m:sSub>
        <m:r>
          <m:rPr>
            <m:sty m:val="p"/>
          </m:rPr>
          <m:t>/</m:t>
        </m:r>
        <m:sSub>
          <m:e>
            <m:r>
              <m:t>L</m:t>
            </m:r>
          </m:e>
          <m:sub>
            <m:r>
              <m:t>2</m:t>
            </m:r>
          </m:sub>
        </m:sSub>
      </m:oMath>
      <w:r>
        <w:t xml:space="preserve"> </w:t>
      </w:r>
      <w:r>
        <w:t xml:space="preserve">metrics.</w:t>
      </w:r>
      <w:r>
        <w:t xml:space="preserve"> </w:t>
      </w:r>
      <w:r>
        <w:rPr>
          <w:rStyle w:val="VerbatimChar"/>
        </w:rPr>
        <w:t xml:space="preserve">MLP</w:t>
      </w:r>
      <w:r>
        <w:t xml:space="preserve"> </w:t>
      </w:r>
      <w:r>
        <w:t xml:space="preserve">uses one–two hidden layers (50–100 units), ReLU activations, and</w:t>
      </w:r>
      <w:r>
        <w:t xml:space="preserve"> </w:t>
      </w:r>
      <m:oMath>
        <m:sSub>
          <m:e>
            <m:r>
              <m:t>ℓ</m:t>
            </m:r>
          </m:e>
          <m:sub>
            <m:r>
              <m:t>2</m:t>
            </m:r>
          </m:sub>
        </m:sSub>
      </m:oMath>
      <w:r>
        <w:t xml:space="preserve"> </w:t>
      </w:r>
      <w:r>
        <w:t xml:space="preserve">weight decay; KNN and MLP diversify rankings but seldom win composite selection on thin designs.</w:t>
      </w:r>
      <w:r>
        <w:t xml:space="preserve"> </w:t>
      </w:r>
      <w:r>
        <w:t xml:space="preserve">All nineteen families share identical folds, logging, and selection logic so differences reflect inductive bias rather than protocol drift.</w:t>
      </w:r>
    </w:p>
    <w:p>
      <w:pPr>
        <w:pStyle w:val="BodyText"/>
      </w:pPr>
      <w:r>
        <w:rPr>
          <w:rStyle w:val="VerbatimChar"/>
        </w:rPr>
        <w:t xml:space="preserve">GPR_RBF</w:t>
      </w:r>
      <w:r>
        <w:t xml:space="preserve"> </w:t>
      </w:r>
      <w:r>
        <w:t xml:space="preserve">and</w:t>
      </w:r>
      <w:r>
        <w:t xml:space="preserve"> </w:t>
      </w:r>
      <w:r>
        <w:rPr>
          <w:rStyle w:val="VerbatimChar"/>
        </w:rPr>
        <w:t xml:space="preserve">GPR_Matern</w:t>
      </w:r>
      <w:r>
        <w:t xml:space="preserve"> </w:t>
      </w:r>
      <w:r>
        <w:t xml:space="preserve">posit</w:t>
      </w:r>
      <w:r>
        <w:t xml:space="preserve"> </w:t>
      </w:r>
      <m:oMath>
        <m:r>
          <m:t>f</m:t>
        </m:r>
        <m:r>
          <m:rPr>
            <m:sty m:val="p"/>
          </m:rPr>
          <m:t>∼</m:t>
        </m:r>
        <m:r>
          <m:rPr>
            <m:scr m:val="script"/>
            <m:sty m:val="p"/>
          </m:rPr>
          <m:t>G</m:t>
        </m:r>
        <m:r>
          <m:rPr>
            <m:scr m:val="script"/>
            <m:sty m:val="p"/>
          </m:rPr>
          <m:t>P</m:t>
        </m:r>
        <m:r>
          <m:rPr>
            <m:sty m:val="p"/>
          </m:rPr>
          <m:t>(</m:t>
        </m:r>
        <m:r>
          <m:t>0</m:t>
        </m:r>
        <m:r>
          <m:rPr>
            <m:sty m:val="p"/>
          </m:rPr>
          <m:t>,</m:t>
        </m:r>
        <m:r>
          <m:t>k</m:t>
        </m:r>
        <m:r>
          <m:rPr>
            <m:sty m:val="p"/>
          </m:rPr>
          <m:t>)</m:t>
        </m:r>
      </m:oMath>
      <w:r>
        <w:t xml:space="preserve"> </w:t>
      </w:r>
      <w:r>
        <w:t xml:space="preserve">with</w:t>
      </w:r>
      <w:r>
        <w:t xml:space="preserve"> </w:t>
      </w:r>
      <m:oMath>
        <m:r>
          <m:t>k</m:t>
        </m:r>
        <m:r>
          <m:rPr>
            <m:sty m:val="p"/>
          </m:rPr>
          <m:t>(</m:t>
        </m:r>
        <m:r>
          <m:rPr>
            <m:sty m:val="bi"/>
          </m:rPr>
          <m:t>x</m:t>
        </m:r>
        <m:r>
          <m:rPr>
            <m:sty m:val="p"/>
          </m:rPr>
          <m:t>,</m:t>
        </m:r>
        <m:sSup>
          <m:e>
            <m:r>
              <m:rPr>
                <m:sty m:val="bi"/>
              </m:rPr>
              <m:t>x</m:t>
            </m:r>
          </m:e>
          <m:sup>
            <m:r>
              <m:rPr>
                <m:sty m:val="p"/>
              </m:rPr>
              <m:t>′</m:t>
            </m:r>
          </m:sup>
        </m:sSup>
        <m:r>
          <m:rPr>
            <m:sty m:val="p"/>
          </m:rPr>
          <m:t>)</m:t>
        </m:r>
        <m:r>
          <m:rPr>
            <m:sty m:val="p"/>
          </m:rPr>
          <m:t>=</m:t>
        </m:r>
        <m:sSubSup>
          <m:e>
            <m:r>
              <m:t>σ</m:t>
            </m:r>
          </m:e>
          <m:sub>
            <m:r>
              <m:t>f</m:t>
            </m:r>
          </m:sub>
          <m:sup>
            <m:r>
              <m:t>2</m:t>
            </m:r>
          </m:sup>
        </m:sSubSup>
        <m:r>
          <m:t>C</m:t>
        </m:r>
        <m:r>
          <m:rPr>
            <m:sty m:val="p"/>
          </m:rPr>
          <m:t>⋅</m:t>
        </m:r>
        <m:sSub>
          <m:e>
            <m:r>
              <m:t>k</m:t>
            </m:r>
          </m:e>
          <m:sub>
            <m:r>
              <m:rPr>
                <m:sty m:val="p"/>
              </m:rPr>
              <m:t>b</m:t>
            </m:r>
            <m:r>
              <m:rPr>
                <m:sty m:val="p"/>
              </m:rPr>
              <m:t>a</m:t>
            </m:r>
            <m:r>
              <m:rPr>
                <m:sty m:val="p"/>
              </m:rPr>
              <m:t>s</m:t>
            </m:r>
            <m:r>
              <m:rPr>
                <m:sty m:val="p"/>
              </m:rPr>
              <m:t>e</m:t>
            </m:r>
          </m:sub>
        </m:sSub>
        <m:r>
          <m:rPr>
            <m:sty m:val="p"/>
          </m:rPr>
          <m:t>(</m:t>
        </m:r>
        <m:r>
          <m:rPr>
            <m:sty m:val="bi"/>
          </m:rPr>
          <m:t>x</m:t>
        </m:r>
        <m:r>
          <m:rPr>
            <m:sty m:val="p"/>
          </m:rPr>
          <m:t>,</m:t>
        </m:r>
        <m:sSup>
          <m:e>
            <m:r>
              <m:rPr>
                <m:sty m:val="bi"/>
              </m:rPr>
              <m:t>x</m:t>
            </m:r>
          </m:e>
          <m:sup>
            <m:r>
              <m:rPr>
                <m:sty m:val="p"/>
              </m:rPr>
              <m:t>′</m:t>
            </m:r>
          </m:sup>
        </m:sSup>
        <m:r>
          <m:rPr>
            <m:sty m:val="p"/>
          </m:rPr>
          <m:t>)</m:t>
        </m:r>
        <m:r>
          <m:rPr>
            <m:sty m:val="p"/>
          </m:rPr>
          <m:t>+</m:t>
        </m:r>
        <m:sSubSup>
          <m:e>
            <m:r>
              <m:t>σ</m:t>
            </m:r>
          </m:e>
          <m:sub>
            <m:r>
              <m:t>n</m:t>
            </m:r>
          </m:sub>
          <m:sup>
            <m:r>
              <m:t>2</m:t>
            </m:r>
          </m:sup>
        </m:sSubSup>
        <m:sSub>
          <m:e>
            <m:r>
              <m:t>δ</m:t>
            </m:r>
          </m:e>
          <m:sub>
            <m:r>
              <m:rPr>
                <m:sty m:val="bi"/>
              </m:rPr>
              <m:t>x</m:t>
            </m:r>
            <m:sSup>
              <m:e>
                <m:r>
                  <m:rPr>
                    <m:sty m:val="bi"/>
                  </m:rPr>
                  <m:t>x</m:t>
                </m:r>
              </m:e>
              <m:sup>
                <m:r>
                  <m:rPr>
                    <m:sty m:val="p"/>
                  </m:rPr>
                  <m:t>′</m:t>
                </m:r>
              </m:sup>
            </m:sSup>
          </m:sub>
        </m:sSub>
      </m:oMath>
      <w:r>
        <w:t xml:space="preserve">,</w:t>
      </w:r>
      <w:r>
        <w:t xml:space="preserve"> </w:t>
      </w:r>
      <w:r>
        <w:t xml:space="preserve">where</w:t>
      </w:r>
      <w:r>
        <w:t xml:space="preserve"> </w:t>
      </w:r>
      <m:oMath>
        <m:sSub>
          <m:e>
            <m:r>
              <m:t>k</m:t>
            </m:r>
          </m:e>
          <m:sub>
            <m:r>
              <m:rPr>
                <m:sty m:val="p"/>
              </m:rPr>
              <m:t>b</m:t>
            </m:r>
            <m:r>
              <m:rPr>
                <m:sty m:val="p"/>
              </m:rPr>
              <m:t>a</m:t>
            </m:r>
            <m:r>
              <m:rPr>
                <m:sty m:val="p"/>
              </m:rPr>
              <m:t>s</m:t>
            </m:r>
            <m:r>
              <m:rPr>
                <m:sty m:val="p"/>
              </m:rPr>
              <m:t>e</m:t>
            </m:r>
          </m:sub>
        </m:sSub>
      </m:oMath>
      <w:r>
        <w:t xml:space="preserve"> </w:t>
      </w:r>
      <w:r>
        <w:t xml:space="preserve">is RBF or Matérn</w:t>
      </w:r>
      <w:r>
        <w:t xml:space="preserve"> </w:t>
      </w:r>
      <m:oMath>
        <m:r>
          <m:t>ν</m:t>
        </m:r>
        <m:r>
          <m:rPr>
            <m:sty m:val="p"/>
          </m:rPr>
          <m:t>=</m:t>
        </m:r>
        <m:r>
          <m:t>1.5</m:t>
        </m:r>
      </m:oMath>
      <w:r>
        <w:t xml:space="preserve"> </w:t>
      </w:r>
      <w:r>
        <w:t xml:space="preserve">plus</w:t>
      </w:r>
      <w:r>
        <w:t xml:space="preserve"> </w:t>
      </w:r>
      <w:r>
        <w:rPr>
          <w:rStyle w:val="VerbatimChar"/>
        </w:rPr>
        <w:t xml:space="preserve">WhiteKernel</w:t>
      </w:r>
      <w:r>
        <w:t xml:space="preserve"> </w:t>
      </w:r>
      <w:r>
        <w:t xml:space="preserve">(Santner et al. 2003; Forrester et al. 2008)</w:t>
      </w:r>
      <w:r>
        <w:t xml:space="preserve">; length scales use</w:t>
      </w:r>
      <w:r>
        <w:t xml:space="preserve"> </w:t>
      </w:r>
      <w:r>
        <w:rPr>
          <w:rStyle w:val="VerbatimChar"/>
        </w:rPr>
        <w:t xml:space="preserve">n_restarts_optimizer=2</w:t>
      </w:r>
      <w:r>
        <w:t xml:space="preserve"> </w:t>
      </w:r>
      <w:r>
        <w:t xml:space="preserve">and jitter</w:t>
      </w:r>
      <w:r>
        <w:t xml:space="preserve"> </w:t>
      </w:r>
      <m:oMath>
        <m:r>
          <m:t>α</m:t>
        </m:r>
        <m:r>
          <m:rPr>
            <m:sty m:val="p"/>
          </m:rPr>
          <m:t>∈</m:t>
        </m:r>
        <m:r>
          <m:rPr>
            <m:sty m:val="p"/>
          </m:rPr>
          <m:t>{</m:t>
        </m:r>
        <m:sSup>
          <m:e>
            <m:r>
              <m:t>10</m:t>
            </m:r>
          </m:e>
          <m:sup>
            <m:r>
              <m:rPr>
                <m:sty m:val="p"/>
              </m:rPr>
              <m:t>−</m:t>
            </m:r>
            <m:r>
              <m:t>10</m:t>
            </m:r>
          </m:sup>
        </m:sSup>
        <m:r>
          <m:rPr>
            <m:sty m:val="p"/>
          </m:rPr>
          <m:t>,</m:t>
        </m:r>
        <m:sSup>
          <m:e>
            <m:r>
              <m:t>10</m:t>
            </m:r>
          </m:e>
          <m:sup>
            <m:r>
              <m:rPr>
                <m:sty m:val="p"/>
              </m:rPr>
              <m:t>−</m:t>
            </m:r>
            <m:r>
              <m:t>6</m:t>
            </m:r>
          </m:sup>
        </m:sSup>
        <m:r>
          <m:rPr>
            <m:sty m:val="p"/>
          </m:rPr>
          <m:t>,</m:t>
        </m:r>
        <m:sSup>
          <m:e>
            <m:r>
              <m:t>10</m:t>
            </m:r>
          </m:e>
          <m:sup>
            <m:r>
              <m:rPr>
                <m:sty m:val="p"/>
              </m:rPr>
              <m:t>−</m:t>
            </m:r>
            <m:r>
              <m:t>3</m:t>
            </m:r>
          </m:sup>
        </m:sSup>
        <m:r>
          <m:rPr>
            <m:sty m:val="p"/>
          </m:rPr>
          <m:t>}</m:t>
        </m:r>
      </m:oMath>
      <w:r>
        <w:t xml:space="preserve">.</w:t>
      </w:r>
      <w:r>
        <w:t xml:space="preserve"> </w:t>
      </w:r>
      <w:r>
        <w:t xml:space="preserve">With</w:t>
      </w:r>
      <w:r>
        <w:t xml:space="preserve"> </w:t>
      </w:r>
      <w:r>
        <w:rPr>
          <w:rStyle w:val="VerbatimChar"/>
        </w:rPr>
        <w:t xml:space="preserve">normalize_y=True</w:t>
      </w:r>
      <w:r>
        <w:t xml:space="preserve">, posterior mean</w:t>
      </w:r>
      <w:r>
        <w:t xml:space="preserve"> </w:t>
      </w:r>
      <m:oMath>
        <m:sSub>
          <m:e>
            <m:acc>
              <m:accPr>
                <m:chr m:val="̂"/>
              </m:accPr>
              <m:e>
                <m:r>
                  <m:t>y</m:t>
                </m:r>
              </m:e>
            </m:acc>
          </m:e>
          <m:sub>
            <m:r>
              <m:rPr>
                <m:sty m:val="p"/>
              </m:rPr>
              <m:t>⋆</m:t>
            </m:r>
          </m:sub>
        </m:sSub>
        <m:r>
          <m:rPr>
            <m:sty m:val="p"/>
          </m:rPr>
          <m:t>=</m:t>
        </m:r>
        <m:sSubSup>
          <m:e>
            <m:r>
              <m:rPr>
                <m:sty m:val="bi"/>
              </m:rPr>
              <m:t>k</m:t>
            </m:r>
          </m:e>
          <m:sub>
            <m:r>
              <m:rPr>
                <m:sty m:val="p"/>
              </m:rPr>
              <m:t>⋆</m:t>
            </m:r>
          </m:sub>
          <m:sup>
            <m:r>
              <m:rPr>
                <m:sty m:val="p"/>
              </m:rPr>
              <m:t>⊤</m:t>
            </m:r>
          </m:sup>
        </m:sSubSup>
        <m:r>
          <m:rPr>
            <m:sty m:val="p"/>
          </m:rPr>
          <m:t>(</m:t>
        </m:r>
        <m:r>
          <m:rPr>
            <m:sty m:val="bi"/>
          </m:rPr>
          <m:t>K</m:t>
        </m:r>
        <m:r>
          <m:rPr>
            <m:sty m:val="p"/>
          </m:rPr>
          <m:t>+</m:t>
        </m:r>
        <m:r>
          <m:t>α</m:t>
        </m:r>
        <m:r>
          <m:rPr>
            <m:sty m:val="bi"/>
          </m:rPr>
          <m:t>I</m:t>
        </m:r>
        <m:sSup>
          <m:e>
            <m:r>
              <m:rPr>
                <m:sty m:val="p"/>
              </m:rPr>
              <m:t>)</m:t>
            </m:r>
          </m:e>
          <m:sup>
            <m:r>
              <m:rPr>
                <m:sty m:val="p"/>
              </m:rPr>
              <m:t>−</m:t>
            </m:r>
            <m:r>
              <m:t>1</m:t>
            </m:r>
          </m:sup>
        </m:sSup>
        <m:sSub>
          <m:e>
            <m:r>
              <m:rPr>
                <m:sty m:val="bi"/>
              </m:rPr>
              <m:t>y</m:t>
            </m:r>
          </m:e>
          <m:sub>
            <m:sSub>
              <m:e>
                <m:r>
                  <m:rPr>
                    <m:scr m:val="script"/>
                    <m:sty m:val="p"/>
                  </m:rPr>
                  <m:t>D</m:t>
                </m:r>
              </m:e>
              <m:sub>
                <m:r>
                  <m:rPr>
                    <m:sty m:val="p"/>
                  </m:rPr>
                  <m:t>t</m:t>
                </m:r>
                <m:r>
                  <m:rPr>
                    <m:sty m:val="p"/>
                  </m:rPr>
                  <m:t>r</m:t>
                </m:r>
              </m:sub>
            </m:sSub>
          </m:sub>
        </m:sSub>
      </m:oMath>
      <w:r>
        <w:t xml:space="preserve"> </w:t>
      </w:r>
      <w:r>
        <w:t xml:space="preserve">yields smooth interpolants well suited to low-noise utilisation surfaces where</w:t>
      </w:r>
      <w:r>
        <w:t xml:space="preserve"> </w:t>
      </w:r>
      <w:r>
        <w:rPr>
          <w:rStyle w:val="VerbatimChar"/>
        </w:rPr>
        <w:t xml:space="preserve">GPR_Matern</w:t>
      </w:r>
      <w:r>
        <w:t xml:space="preserve"> </w:t>
      </w:r>
      <w:r>
        <w:t xml:space="preserve">often wins (§</w:t>
      </w:r>
      <w:hyperlink w:anchor="sec:experiments">
        <w:r>
          <w:rPr>
            <w:rStyle w:val="Hyperlink"/>
          </w:rPr>
          <w:t xml:space="preserve">6</w:t>
        </w:r>
      </w:hyperlink>
      <w:r>
        <w:t xml:space="preserve">); Matérn</w:t>
      </w:r>
      <w:r>
        <w:t xml:space="preserve"> </w:t>
      </w:r>
      <m:oMath>
        <m:r>
          <m:t>ν</m:t>
        </m:r>
        <m:r>
          <m:rPr>
            <m:sty m:val="p"/>
          </m:rPr>
          <m:t>=</m:t>
        </m:r>
        <m:r>
          <m:t>1.5</m:t>
        </m:r>
      </m:oMath>
      <w:r>
        <w:t xml:space="preserve"> </w:t>
      </w:r>
      <w:r>
        <w:t xml:space="preserve">is less brittle than RBF at short length scales.</w:t>
      </w:r>
      <w:r>
        <w:t xml:space="preserve"> </w:t>
      </w:r>
      <w:r>
        <w:t xml:space="preserve">Fitting costs</w:t>
      </w:r>
      <w:r>
        <w:t xml:space="preserve"> </w:t>
      </w:r>
      <m:oMath>
        <m:r>
          <m:rPr>
            <m:scr m:val="script"/>
            <m:sty m:val="p"/>
          </m:rPr>
          <m:t>O</m:t>
        </m:r>
        <m:r>
          <m:rPr>
            <m:sty m:val="p"/>
          </m:rPr>
          <m:t>(</m:t>
        </m:r>
        <m:r>
          <m:rPr>
            <m:sty m:val="p"/>
          </m:rPr>
          <m:t>|</m:t>
        </m:r>
        <m:sSub>
          <m:e>
            <m:r>
              <m:rPr>
                <m:scr m:val="script"/>
                <m:sty m:val="p"/>
              </m:rPr>
              <m:t>D</m:t>
            </m:r>
          </m:e>
          <m:sub>
            <m:r>
              <m:rPr>
                <m:sty m:val="p"/>
              </m:rPr>
              <m:t>t</m:t>
            </m:r>
            <m:r>
              <m:rPr>
                <m:sty m:val="p"/>
              </m:rPr>
              <m:t>r</m:t>
            </m:r>
          </m:sub>
        </m:sSub>
        <m:sSup>
          <m:e>
            <m:r>
              <m:rPr>
                <m:sty m:val="p"/>
              </m:rPr>
              <m:t>|</m:t>
            </m:r>
          </m:e>
          <m:sup>
            <m:r>
              <m:t>3</m:t>
            </m:r>
          </m:sup>
        </m:sSup>
        <m:r>
          <m:rPr>
            <m:sty m:val="p"/>
          </m:rPr>
          <m:t>)</m:t>
        </m:r>
      </m:oMath>
      <w:r>
        <w:t xml:space="preserve"> </w:t>
      </w:r>
      <w:r>
        <w:t xml:space="preserve">per target, which remains feasible for our training-pool size; we use conformal residuals rather than GPR variance for comparable intervals across families.</w:t>
      </w:r>
    </w:p>
    <w:p>
      <w:pPr>
        <w:pStyle w:val="BodyText"/>
      </w:pPr>
      <w:r>
        <w:rPr>
          <w:rStyle w:val="VerbatimChar"/>
        </w:rPr>
        <w:t xml:space="preserve">CatBoost</w:t>
      </w:r>
      <w:r>
        <w:t xml:space="preserve"> </w:t>
      </w:r>
      <w:r>
        <w:t xml:space="preserve">(Bentéjac et al. 2019a)</w:t>
      </w:r>
      <w:r>
        <w:t xml:space="preserve"> </w:t>
      </w:r>
      <w:r>
        <w:t xml:space="preserve">uses</w:t>
      </w:r>
      <w:r>
        <w:t xml:space="preserve"> </w:t>
      </w:r>
      <w:r>
        <w:rPr>
          <w:i/>
          <w:iCs/>
        </w:rPr>
        <w:t xml:space="preserve">ordered</w:t>
      </w:r>
      <w:r>
        <w:t xml:space="preserve"> </w:t>
      </w:r>
      <w:r>
        <w:t xml:space="preserve">boosting (gradients for row</w:t>
      </w:r>
      <w:r>
        <w:t xml:space="preserve"> </w:t>
      </w:r>
      <m:oMath>
        <m:r>
          <m:t>i</m:t>
        </m:r>
      </m:oMath>
      <w:r>
        <w:t xml:space="preserve"> </w:t>
      </w:r>
      <w:r>
        <w:t xml:space="preserve">use only prior rows in a permutation) and</w:t>
      </w:r>
      <w:r>
        <w:t xml:space="preserve"> </w:t>
      </w:r>
      <w:r>
        <w:rPr>
          <w:i/>
          <w:iCs/>
        </w:rPr>
        <w:t xml:space="preserve">symmetric</w:t>
      </w:r>
      <w:r>
        <w:t xml:space="preserve"> </w:t>
      </w:r>
      <w:r>
        <w:t xml:space="preserve">trees (one split predicate per depth), reducing small-</w:t>
      </w:r>
      <m:oMath>
        <m:r>
          <m:t>n</m:t>
        </m:r>
      </m:oMath>
      <w:r>
        <w:t xml:space="preserve"> </w:t>
      </w:r>
      <w:r>
        <w:t xml:space="preserve">shift when</w:t>
      </w:r>
      <w:r>
        <w:t xml:space="preserve"> </w:t>
      </w:r>
      <m:oMath>
        <m:r>
          <m:rPr>
            <m:sty m:val="p"/>
          </m:rPr>
          <m:t>|</m:t>
        </m:r>
        <m:sSub>
          <m:e>
            <m:r>
              <m:rPr>
                <m:scr m:val="script"/>
                <m:sty m:val="p"/>
              </m:rPr>
              <m:t>D</m:t>
            </m:r>
          </m:e>
          <m:sub>
            <m:r>
              <m:rPr>
                <m:sty m:val="p"/>
              </m:rPr>
              <m:t>t</m:t>
            </m:r>
            <m:r>
              <m:rPr>
                <m:sty m:val="p"/>
              </m:rPr>
              <m:t>r</m:t>
            </m:r>
          </m:sub>
        </m:sSub>
        <m:r>
          <m:rPr>
            <m:sty m:val="p"/>
          </m:rPr>
          <m:t>|</m:t>
        </m:r>
        <m:r>
          <m:rPr>
            <m:sty m:val="p"/>
          </m:rPr>
          <m:t>≪</m:t>
        </m:r>
        <m:sSup>
          <m:e>
            <m:r>
              <m:t>2</m:t>
            </m:r>
          </m:e>
          <m:sup>
            <m:r>
              <m:t>d</m:t>
            </m:r>
          </m:sup>
        </m:sSup>
      </m:oMath>
      <w:r>
        <w:t xml:space="preserve">.</w:t>
      </w:r>
      <w:r>
        <w:t xml:space="preserve"> </w:t>
      </w:r>
      <w:r>
        <w:t xml:space="preserve">We tune</w:t>
      </w:r>
      <w:r>
        <w:t xml:space="preserve"> </w:t>
      </w:r>
      <w:r>
        <w:rPr>
          <w:rStyle w:val="VerbatimChar"/>
        </w:rPr>
        <w:t xml:space="preserve">iterations</w:t>
      </w:r>
      <w:r>
        <w:t xml:space="preserve">,</w:t>
      </w:r>
      <w:r>
        <w:t xml:space="preserve"> </w:t>
      </w:r>
      <w:r>
        <w:rPr>
          <w:rStyle w:val="VerbatimChar"/>
        </w:rPr>
        <w:t xml:space="preserve">learning_rate</w:t>
      </w:r>
      <w:r>
        <w:t xml:space="preserve">, and</w:t>
      </w:r>
      <w:r>
        <w:t xml:space="preserve"> </w:t>
      </w:r>
      <w:r>
        <w:rPr>
          <w:rStyle w:val="VerbatimChar"/>
        </w:rPr>
        <w:t xml:space="preserve">depth</w:t>
      </w:r>
      <w:r>
        <w:t xml:space="preserve"> </w:t>
      </w:r>
      <m:oMath>
        <m:r>
          <m:rPr>
            <m:sty m:val="p"/>
          </m:rPr>
          <m:t>∈</m:t>
        </m:r>
        <m:r>
          <m:rPr>
            <m:sty m:val="p"/>
          </m:rPr>
          <m:t>{</m:t>
        </m:r>
        <m:r>
          <m:t>4</m:t>
        </m:r>
        <m:r>
          <m:rPr>
            <m:sty m:val="p"/>
          </m:rPr>
          <m:t>,</m:t>
        </m:r>
        <m:r>
          <m:t>6</m:t>
        </m:r>
        <m:r>
          <m:rPr>
            <m:sty m:val="p"/>
          </m:rPr>
          <m:t>}</m:t>
        </m:r>
      </m:oMath>
      <w:r>
        <w:t xml:space="preserve"> </w:t>
      </w:r>
      <w:r>
        <w:t xml:space="preserve">with</w:t>
      </w:r>
      <w:r>
        <w:t xml:space="preserve"> </w:t>
      </w:r>
      <w:r>
        <w:rPr>
          <w:rStyle w:val="VerbatimChar"/>
        </w:rPr>
        <w:t xml:space="preserve">random_seed=42</w:t>
      </w:r>
      <w:r>
        <w:t xml:space="preserve">.</w:t>
      </w:r>
      <w:r>
        <w:t xml:space="preserve"> </w:t>
      </w:r>
      <w:r>
        <w:t xml:space="preserve">CatBoost and other boosters consume raw numeric features without one-hot encoding in this fully continuous design.</w:t>
      </w:r>
    </w:p>
    <w:bookmarkEnd w:id="36"/>
    <w:bookmarkStart w:id="40" w:name="sec:method-compare"/>
    <w:p>
      <w:pPr>
        <w:pStyle w:val="Heading2"/>
      </w:pPr>
      <w:r>
        <w:t xml:space="preserve">Model comparison, explainability, and deployment</w:t>
      </w:r>
    </w:p>
    <w:p>
      <w:pPr>
        <w:pStyle w:val="FirstParagraph"/>
      </w:pPr>
      <w:r>
        <w:t xml:space="preserve">Paired</w:t>
      </w:r>
      <w:r>
        <w:t xml:space="preserve"> </w:t>
      </w:r>
      <m:oMath>
        <m:r>
          <m:t>t</m:t>
        </m:r>
      </m:oMath>
      <w:r>
        <w:t xml:space="preserve">-tests (</w:t>
      </w:r>
      <w:r>
        <w:rPr>
          <w:rStyle w:val="VerbatimChar"/>
        </w:rPr>
        <w:t xml:space="preserve">scipy.stats.ttest_rel</w:t>
      </w:r>
      <w:r>
        <w:t xml:space="preserve">,</w:t>
      </w:r>
      <w:r>
        <w:t xml:space="preserve"> </w:t>
      </w:r>
      <m:oMath>
        <m:r>
          <m:t>α</m:t>
        </m:r>
        <m:r>
          <m:rPr>
            <m:sty m:val="p"/>
          </m:rPr>
          <m:t>=</m:t>
        </m:r>
        <m:r>
          <m:t>0.05</m:t>
        </m:r>
      </m:oMath>
      <w:r>
        <w:t xml:space="preserve">) on aligned fold RMSEs yield</w:t>
      </w:r>
      <w:r>
        <w:t xml:space="preserve"> </w:t>
      </w:r>
      <m:oMath>
        <m:r>
          <m:t>171</m:t>
        </m:r>
      </m:oMath>
      <w:r>
        <w:t xml:space="preserve"> </w:t>
      </w:r>
      <w:r>
        <w:t xml:space="preserve">unordered pairs per target among core families; wins feed composite reporting (40% CV RMSE, 40% test RMSE, 20% win rate) but are descriptive under multiple testing.</w:t>
      </w:r>
      <w:r>
        <w:t xml:space="preserve"> </w:t>
      </w:r>
      <w:r>
        <w:rPr>
          <w:rStyle w:val="VerbatimChar"/>
        </w:rPr>
        <w:t xml:space="preserve">composite_pre_test</w:t>
      </w:r>
      <w:r>
        <w:t xml:space="preserve"> </w:t>
      </w:r>
      <w:r>
        <w:t xml:space="preserve">(CV + wins only) governs SHAP and pre-conformal steps before</w:t>
      </w:r>
      <w:r>
        <w:t xml:space="preserve"> </w:t>
      </w:r>
      <m:oMath>
        <m:sSub>
          <m:e>
            <m:r>
              <m:rPr>
                <m:scr m:val="script"/>
                <m:sty m:val="p"/>
              </m:rPr>
              <m:t>D</m:t>
            </m:r>
          </m:e>
          <m:sub>
            <m:r>
              <m:rPr>
                <m:sty m:val="p"/>
              </m:rPr>
              <m:t>t</m:t>
            </m:r>
            <m:r>
              <m:rPr>
                <m:sty m:val="p"/>
              </m:rPr>
              <m:t>e</m:t>
            </m:r>
          </m:sub>
        </m:sSub>
      </m:oMath>
      <w:r>
        <w:t xml:space="preserve"> </w:t>
      </w:r>
      <w:r>
        <w:t xml:space="preserve">sign-off, ensuring explainability and interval widths never peek at the hold-out set.</w:t>
      </w:r>
    </w:p>
    <w:bookmarkStart w:id="37" w:name="friedman-and-nemenyi."/>
    <w:p>
      <w:pPr>
        <w:pStyle w:val="Heading4"/>
      </w:pPr>
      <w:r>
        <w:t xml:space="preserve">Friedman and Nemenyi.</w:t>
      </w:r>
    </w:p>
    <w:p>
      <w:pPr>
        <w:pStyle w:val="FirstParagraph"/>
      </w:pPr>
      <w:r>
        <w:t xml:space="preserve">Each CV fold is a block; matrix</w:t>
      </w:r>
      <w:r>
        <w:t xml:space="preserve"> </w:t>
      </w:r>
      <m:oMath>
        <m:r>
          <m:rPr>
            <m:sty m:val="bi"/>
          </m:rPr>
          <m:t>E</m:t>
        </m:r>
        <m:r>
          <m:rPr>
            <m:sty m:val="p"/>
          </m:rPr>
          <m:t>∈</m:t>
        </m:r>
        <m:sSup>
          <m:e>
            <m:r>
              <m:rPr>
                <m:scr m:val="double-struck"/>
                <m:sty m:val="p"/>
              </m:rPr>
              <m:t>R</m:t>
            </m:r>
          </m:e>
          <m:sup>
            <m:sSub>
              <m:e>
                <m:r>
                  <m:t>N</m:t>
                </m:r>
              </m:e>
              <m:sub>
                <m:r>
                  <m:rPr>
                    <m:sty m:val="p"/>
                  </m:rPr>
                  <m:t>f</m:t>
                </m:r>
                <m:r>
                  <m:rPr>
                    <m:sty m:val="p"/>
                  </m:rPr>
                  <m:t>o</m:t>
                </m:r>
                <m:r>
                  <m:rPr>
                    <m:sty m:val="p"/>
                  </m:rPr>
                  <m:t>l</m:t>
                </m:r>
                <m:r>
                  <m:rPr>
                    <m:sty m:val="p"/>
                  </m:rPr>
                  <m:t>d</m:t>
                </m:r>
              </m:sub>
            </m:sSub>
            <m:r>
              <m:rPr>
                <m:sty m:val="p"/>
              </m:rPr>
              <m:t>×</m:t>
            </m:r>
            <m:r>
              <m:rPr>
                <m:sty m:val="p"/>
              </m:rPr>
              <m:t>|</m:t>
            </m:r>
            <m:r>
              <m:rPr>
                <m:scr m:val="script"/>
                <m:sty m:val="p"/>
              </m:rPr>
              <m:t>M</m:t>
            </m:r>
            <m:r>
              <m:rPr>
                <m:sty m:val="p"/>
              </m:rPr>
              <m:t>|</m:t>
            </m:r>
          </m:sup>
        </m:sSup>
      </m:oMath>
      <w:r>
        <w:t xml:space="preserve"> </w:t>
      </w:r>
      <w:r>
        <w:t xml:space="preserve">stores validation RMSEs (</w:t>
      </w:r>
      <m:oMath>
        <m:sSub>
          <m:e>
            <m:r>
              <m:t>N</m:t>
            </m:r>
          </m:e>
          <m:sub>
            <m:r>
              <m:rPr>
                <m:sty m:val="p"/>
              </m:rPr>
              <m:t>f</m:t>
            </m:r>
            <m:r>
              <m:rPr>
                <m:sty m:val="p"/>
              </m:rPr>
              <m:t>o</m:t>
            </m:r>
            <m:r>
              <m:rPr>
                <m:sty m:val="p"/>
              </m:rPr>
              <m:t>l</m:t>
            </m:r>
            <m:r>
              <m:rPr>
                <m:sty m:val="p"/>
              </m:rPr>
              <m:t>d</m:t>
            </m:r>
          </m:sub>
        </m:sSub>
        <m:r>
          <m:rPr>
            <m:sty m:val="p"/>
          </m:rPr>
          <m:t>=</m:t>
        </m:r>
        <m:r>
          <m:t>30</m:t>
        </m:r>
      </m:oMath>
      <w:r>
        <w:t xml:space="preserve">)</w:t>
      </w:r>
      <w:r>
        <w:t xml:space="preserve"> </w:t>
      </w:r>
      <w:r>
        <w:t xml:space="preserve">(Demšar 2006; Nemenyi 1963; Jia et al. 2025)</w:t>
      </w:r>
      <w:r>
        <w:t xml:space="preserve">.</w:t>
      </w:r>
      <w:r>
        <w:t xml:space="preserve"> </w:t>
      </w:r>
      <w:r>
        <w:t xml:space="preserve">Friedman tests equal mean ranks; Nemenyi post-hoc uses critical difference</w:t>
      </w:r>
      <w:r>
        <w:t xml:space="preserve"> </w:t>
      </w:r>
      <m:oMath>
        <m:r>
          <m:rPr>
            <m:sty m:val="p"/>
          </m:rPr>
          <m:t>C</m:t>
        </m:r>
        <m:r>
          <m:rPr>
            <m:sty m:val="p"/>
          </m:rPr>
          <m:t>D</m:t>
        </m:r>
        <m:r>
          <m:rPr>
            <m:sty m:val="p"/>
          </m:rPr>
          <m:t>=</m:t>
        </m:r>
        <m:sSub>
          <m:e>
            <m:r>
              <m:t>q</m:t>
            </m:r>
          </m:e>
          <m:sub>
            <m:r>
              <m:t>α</m:t>
            </m:r>
          </m:sub>
        </m:sSub>
        <m:rad>
          <m:radPr>
            <m:degHide m:val="on"/>
          </m:radPr>
          <m:deg/>
          <m:e>
            <m:r>
              <m:rPr>
                <m:sty m:val="p"/>
              </m:rPr>
              <m:t>|</m:t>
            </m:r>
            <m:r>
              <m:rPr>
                <m:scr m:val="script"/>
                <m:sty m:val="p"/>
              </m:rPr>
              <m:t>M</m:t>
            </m:r>
            <m:r>
              <m:rPr>
                <m:sty m:val="p"/>
              </m:rPr>
              <m:t>|</m:t>
            </m:r>
            <m:r>
              <m:rPr>
                <m:sty m:val="p"/>
              </m:rPr>
              <m:t>(</m:t>
            </m:r>
            <m:r>
              <m:rPr>
                <m:sty m:val="p"/>
              </m:rPr>
              <m:t>|</m:t>
            </m:r>
            <m:r>
              <m:rPr>
                <m:scr m:val="script"/>
                <m:sty m:val="p"/>
              </m:rPr>
              <m:t>M</m:t>
            </m:r>
            <m:r>
              <m:rPr>
                <m:sty m:val="p"/>
              </m:rPr>
              <m:t>|</m:t>
            </m:r>
            <m:r>
              <m:rPr>
                <m:sty m:val="p"/>
              </m:rPr>
              <m:t>+</m:t>
            </m:r>
            <m:r>
              <m:t>1</m:t>
            </m:r>
            <m:r>
              <m:rPr>
                <m:sty m:val="p"/>
              </m:rPr>
              <m:t>)</m:t>
            </m:r>
            <m:r>
              <m:rPr>
                <m:sty m:val="p"/>
              </m:rPr>
              <m:t>/</m:t>
            </m:r>
            <m:r>
              <m:rPr>
                <m:sty m:val="p"/>
              </m:rPr>
              <m:t>(</m:t>
            </m:r>
            <m:r>
              <m:t>6</m:t>
            </m:r>
            <m:sSub>
              <m:e>
                <m:r>
                  <m:t>N</m:t>
                </m:r>
              </m:e>
              <m:sub>
                <m:r>
                  <m:rPr>
                    <m:sty m:val="p"/>
                  </m:rPr>
                  <m:t>f</m:t>
                </m:r>
                <m:r>
                  <m:rPr>
                    <m:sty m:val="p"/>
                  </m:rPr>
                  <m:t>o</m:t>
                </m:r>
                <m:r>
                  <m:rPr>
                    <m:sty m:val="p"/>
                  </m:rPr>
                  <m:t>l</m:t>
                </m:r>
                <m:r>
                  <m:rPr>
                    <m:sty m:val="p"/>
                  </m:rPr>
                  <m:t>d</m:t>
                </m:r>
              </m:sub>
            </m:sSub>
            <m:r>
              <m:rPr>
                <m:sty m:val="p"/>
              </m:rPr>
              <m:t>)</m:t>
            </m:r>
          </m:e>
        </m:rad>
      </m:oMath>
      <w:r>
        <w:t xml:space="preserve"> </w:t>
      </w:r>
      <w:r>
        <w:t xml:space="preserve">for tier-1 clusters and critical-difference diagrams (Step 2).</w:t>
      </w:r>
      <w:r>
        <w:t xml:space="preserve"> </w:t>
      </w:r>
      <w:r>
        <w:t xml:space="preserve">Hold-out RMSE (one value per model) is excluded from these blocks.</w:t>
      </w:r>
      <w:r>
        <w:t xml:space="preserve"> </w:t>
      </w:r>
      <w:r>
        <w:t xml:space="preserve">Step 3 may calibrate top-three CV models on out-of-fold residuals; Step 6 retrains</w:t>
      </w:r>
      <w:r>
        <w:t xml:space="preserve"> </w:t>
      </w:r>
      <m:oMath>
        <m:r>
          <m:rPr>
            <m:sty m:val="p"/>
          </m:rPr>
          <m:t>(</m:t>
        </m:r>
        <m:sSubSup>
          <m:e>
            <m:r>
              <m:t>m</m:t>
            </m:r>
          </m:e>
          <m:sub>
            <m:r>
              <m:t>k</m:t>
            </m:r>
          </m:sub>
          <m:sup>
            <m:r>
              <m:rPr>
                <m:sty m:val="p"/>
              </m:rPr>
              <m:t>⋆</m:t>
            </m:r>
          </m:sup>
        </m:sSubSup>
        <m:r>
          <m:rPr>
            <m:sty m:val="p"/>
          </m:rPr>
          <m:t>,</m:t>
        </m:r>
        <m:sSubSup>
          <m:e>
            <m:r>
              <m:t>θ</m:t>
            </m:r>
          </m:e>
          <m:sub>
            <m:r>
              <m:t>k</m:t>
            </m:r>
          </m:sub>
          <m:sup>
            <m:r>
              <m:rPr>
                <m:sty m:val="p"/>
              </m:rPr>
              <m:t>⋆</m:t>
            </m:r>
          </m:sup>
        </m:sSubSup>
        <m:r>
          <m:rPr>
            <m:sty m:val="p"/>
          </m:rPr>
          <m:t>)</m:t>
        </m:r>
      </m:oMath>
      <w:r>
        <w:t xml:space="preserve"> </w:t>
      </w:r>
      <w:r>
        <w:t xml:space="preserve">on</w:t>
      </w:r>
      <w:r>
        <w:t xml:space="preserve"> </w:t>
      </w:r>
      <m:oMath>
        <m:sSub>
          <m:e>
            <m:r>
              <m:rPr>
                <m:scr m:val="script"/>
                <m:sty m:val="p"/>
              </m:rPr>
              <m:t>D</m:t>
            </m:r>
          </m:e>
          <m:sub>
            <m:r>
              <m:rPr>
                <m:sty m:val="p"/>
              </m:rPr>
              <m:t>t</m:t>
            </m:r>
            <m:r>
              <m:rPr>
                <m:sty m:val="p"/>
              </m:rPr>
              <m:t>r</m:t>
            </m:r>
          </m:sub>
        </m:sSub>
      </m:oMath>
      <w:r>
        <w:t xml:space="preserve"> </w:t>
      </w:r>
      <w:r>
        <w:t xml:space="preserve">before</w:t>
      </w:r>
      <w:r>
        <w:t xml:space="preserve"> </w:t>
      </w:r>
      <m:oMath>
        <m:sSub>
          <m:e>
            <m:r>
              <m:rPr>
                <m:scr m:val="script"/>
                <m:sty m:val="p"/>
              </m:rPr>
              <m:t>D</m:t>
            </m:r>
          </m:e>
          <m:sub>
            <m:r>
              <m:rPr>
                <m:sty m:val="p"/>
              </m:rPr>
              <m:t>t</m:t>
            </m:r>
            <m:r>
              <m:rPr>
                <m:sty m:val="p"/>
              </m:rPr>
              <m:t>e</m:t>
            </m:r>
          </m:sub>
        </m:sSub>
      </m:oMath>
      <w:r>
        <w:t xml:space="preserve"> </w:t>
      </w:r>
      <w:r>
        <w:t xml:space="preserve">evaluation (§</w:t>
      </w:r>
      <w:hyperlink w:anchor="sec:experiments">
        <w:r>
          <w:rPr>
            <w:rStyle w:val="Hyperlink"/>
          </w:rPr>
          <w:t xml:space="preserve">6</w:t>
        </w:r>
      </w:hyperlink>
      <w:r>
        <w:t xml:space="preserve">).</w:t>
      </w:r>
    </w:p>
    <w:bookmarkEnd w:id="37"/>
    <w:bookmarkStart w:id="38" w:name="shap."/>
    <w:p>
      <w:pPr>
        <w:pStyle w:val="Heading4"/>
      </w:pPr>
      <w:r>
        <w:t xml:space="preserve">SHAP.</w:t>
      </w:r>
    </w:p>
    <w:p>
      <w:pPr>
        <w:pStyle w:val="FirstParagraph"/>
      </w:pPr>
      <w:r>
        <w:t xml:space="preserve">For each</w:t>
      </w:r>
      <w:r>
        <w:t xml:space="preserve"> </w:t>
      </w:r>
      <w:r>
        <w:rPr>
          <w:rStyle w:val="VerbatimChar"/>
        </w:rPr>
        <w:t xml:space="preserve">composite_pre_test</w:t>
      </w:r>
      <w:r>
        <w:t xml:space="preserve"> </w:t>
      </w:r>
      <w:r>
        <w:t xml:space="preserve">winner, SHAP values</w:t>
      </w:r>
      <w:r>
        <w:t xml:space="preserve"> </w:t>
      </w:r>
      <w:r>
        <w:t xml:space="preserve">(Lundberg and Lee 2017)</w:t>
      </w:r>
      <w:r>
        <w:t xml:space="preserve"> </w:t>
      </w:r>
      <w:r>
        <w:t xml:space="preserve">are computed on</w:t>
      </w:r>
      <w:r>
        <w:t xml:space="preserve"> </w:t>
      </w:r>
      <m:oMath>
        <m:sSub>
          <m:e>
            <m:r>
              <m:rPr>
                <m:sty m:val="bi"/>
              </m:rPr>
              <m:t>X</m:t>
            </m:r>
          </m:e>
          <m:sub>
            <m:sSub>
              <m:e>
                <m:r>
                  <m:rPr>
                    <m:scr m:val="script"/>
                    <m:sty m:val="p"/>
                  </m:rPr>
                  <m:t>D</m:t>
                </m:r>
              </m:e>
              <m:sub>
                <m:r>
                  <m:rPr>
                    <m:sty m:val="p"/>
                  </m:rPr>
                  <m:t>t</m:t>
                </m:r>
                <m:r>
                  <m:rPr>
                    <m:sty m:val="p"/>
                  </m:rPr>
                  <m:t>r</m:t>
                </m:r>
              </m:sub>
            </m:sSub>
          </m:sub>
        </m:sSub>
      </m:oMath>
      <w:r>
        <w:t xml:space="preserve"> </w:t>
      </w:r>
      <w:r>
        <w:t xml:space="preserve">before</w:t>
      </w:r>
      <w:r>
        <w:t xml:space="preserve"> </w:t>
      </w:r>
      <m:oMath>
        <m:sSub>
          <m:e>
            <m:r>
              <m:rPr>
                <m:scr m:val="script"/>
                <m:sty m:val="p"/>
              </m:rPr>
              <m:t>D</m:t>
            </m:r>
          </m:e>
          <m:sub>
            <m:r>
              <m:rPr>
                <m:sty m:val="p"/>
              </m:rPr>
              <m:t>t</m:t>
            </m:r>
            <m:r>
              <m:rPr>
                <m:sty m:val="p"/>
              </m:rPr>
              <m:t>e</m:t>
            </m:r>
          </m:sub>
        </m:sSub>
      </m:oMath>
      <w:r>
        <w:t xml:space="preserve"> </w:t>
      </w:r>
      <w:r>
        <w:t xml:space="preserve">is used.</w:t>
      </w:r>
      <w:r>
        <w:t xml:space="preserve"> </w:t>
      </w:r>
      <w:r>
        <w:t xml:space="preserve">Trees and CatBoost use</w:t>
      </w:r>
      <w:r>
        <w:t xml:space="preserve"> </w:t>
      </w:r>
      <w:r>
        <w:rPr>
          <w:rStyle w:val="VerbatimChar"/>
        </w:rPr>
        <w:t xml:space="preserve">TreeExplainer</w:t>
      </w:r>
      <w:r>
        <w:t xml:space="preserve">; scaled learners use</w:t>
      </w:r>
      <w:r>
        <w:t xml:space="preserve"> </w:t>
      </w:r>
      <w:r>
        <w:rPr>
          <w:rStyle w:val="VerbatimChar"/>
        </w:rPr>
        <w:t xml:space="preserve">shap.Explainer</w:t>
      </w:r>
      <w:r>
        <w:t xml:space="preserve"> </w:t>
      </w:r>
      <w:r>
        <w:t xml:space="preserve">with a background masker and scaler-wrapped predict.</w:t>
      </w:r>
      <w:r>
        <w:t xml:space="preserve"> </w:t>
      </w:r>
      <w:r>
        <w:t xml:space="preserve">Each feature</w:t>
      </w:r>
      <w:r>
        <w:t xml:space="preserve"> </w:t>
      </w:r>
      <m:oMath>
        <m:r>
          <m:t>j</m:t>
        </m:r>
      </m:oMath>
      <w:r>
        <w:t xml:space="preserve"> </w:t>
      </w:r>
      <w:r>
        <w:t xml:space="preserve">receives</w:t>
      </w:r>
      <w:r>
        <w:t xml:space="preserve"> </w:t>
      </w:r>
      <m:oMath>
        <m:sSub>
          <m:e>
            <m:r>
              <m:t>ϕ</m:t>
            </m:r>
          </m:e>
          <m:sub>
            <m:r>
              <m:t>i</m:t>
            </m:r>
            <m:r>
              <m:rPr>
                <m:sty m:val="p"/>
              </m:rPr>
              <m:t>,</m:t>
            </m:r>
            <m:r>
              <m:t>j</m:t>
            </m:r>
          </m:sub>
        </m:sSub>
      </m:oMath>
      <w:r>
        <w:t xml:space="preserve"> </w:t>
      </w:r>
      <w:r>
        <w:t xml:space="preserve">with</w:t>
      </w:r>
      <w:r>
        <w:t xml:space="preserve"> </w:t>
      </w:r>
      <m:oMath>
        <m:nary>
          <m:naryPr>
            <m:chr m:val="∑"/>
            <m:limLoc m:val="undOvr"/>
            <m:subHide m:val="off"/>
            <m:supHide m:val="on"/>
          </m:naryPr>
          <m:sub>
            <m:r>
              <m:t>j</m:t>
            </m:r>
          </m:sub>
          <m:sup>
            <m:r>
              <m:t>​</m:t>
            </m:r>
          </m:sup>
          <m:e>
            <m:sSub>
              <m:e>
                <m:r>
                  <m:t>ϕ</m:t>
                </m:r>
              </m:e>
              <m:sub>
                <m:r>
                  <m:t>i</m:t>
                </m:r>
                <m:r>
                  <m:rPr>
                    <m:sty m:val="p"/>
                  </m:rPr>
                  <m:t>,</m:t>
                </m:r>
                <m:r>
                  <m:t>j</m:t>
                </m:r>
              </m:sub>
            </m:sSub>
          </m:e>
        </m:nary>
        <m:r>
          <m:rPr>
            <m:sty m:val="p"/>
          </m:rPr>
          <m:t>=</m:t>
        </m:r>
        <m:sSub>
          <m:e>
            <m:acc>
              <m:accPr>
                <m:chr m:val="̂"/>
              </m:accPr>
              <m:e>
                <m:r>
                  <m:t>y</m:t>
                </m:r>
              </m:e>
            </m:acc>
          </m:e>
          <m:sub>
            <m:r>
              <m:t>i</m:t>
            </m:r>
            <m:r>
              <m:rPr>
                <m:sty m:val="p"/>
              </m:rPr>
              <m:t>,</m:t>
            </m:r>
            <m:r>
              <m:t>k</m:t>
            </m:r>
          </m:sub>
        </m:sSub>
        <m:r>
          <m:rPr>
            <m:sty m:val="p"/>
          </m:rPr>
          <m:t>−</m:t>
        </m:r>
        <m:r>
          <m:rPr>
            <m:scr m:val="double-struck"/>
            <m:sty m:val="p"/>
          </m:rPr>
          <m:t>E</m:t>
        </m:r>
        <m:r>
          <m:rPr>
            <m:sty m:val="p"/>
          </m:rPr>
          <m:t>[</m:t>
        </m:r>
        <m:acc>
          <m:accPr>
            <m:chr m:val="̂"/>
          </m:accPr>
          <m:e>
            <m:r>
              <m:t>y</m:t>
            </m:r>
          </m:e>
        </m:acc>
        <m:r>
          <m:rPr>
            <m:sty m:val="p"/>
          </m:rPr>
          <m:t>]</m:t>
        </m:r>
      </m:oMath>
      <w:r>
        <w:t xml:space="preserve">; global importance ranks</w:t>
      </w:r>
      <w:r>
        <w:t xml:space="preserve"> </w:t>
      </w:r>
      <m:oMath>
        <m:sSub>
          <m:e>
            <m:r>
              <m:rPr>
                <m:scr m:val="double-struck"/>
                <m:sty m:val="p"/>
              </m:rPr>
              <m:t>E</m:t>
            </m:r>
          </m:e>
          <m:sub>
            <m:r>
              <m:t>i</m:t>
            </m:r>
          </m:sub>
        </m:sSub>
        <m:r>
          <m:rPr>
            <m:sty m:val="p"/>
          </m:rPr>
          <m:t>[</m:t>
        </m:r>
        <m:r>
          <m:rPr>
            <m:sty m:val="p"/>
          </m:rPr>
          <m:t>|</m:t>
        </m:r>
        <m:sSub>
          <m:e>
            <m:r>
              <m:t>ϕ</m:t>
            </m:r>
          </m:e>
          <m:sub>
            <m:r>
              <m:t>i</m:t>
            </m:r>
            <m:r>
              <m:rPr>
                <m:sty m:val="p"/>
              </m:rPr>
              <m:t>,</m:t>
            </m:r>
            <m:r>
              <m:t>j</m:t>
            </m:r>
          </m:sub>
        </m:sSub>
        <m:r>
          <m:rPr>
            <m:sty m:val="p"/>
          </m:rPr>
          <m:t>|</m:t>
        </m:r>
        <m:r>
          <m:rPr>
            <m:sty m:val="p"/>
          </m:rPr>
          <m:t>]</m:t>
        </m:r>
      </m:oMath>
      <w:r>
        <w:t xml:space="preserve"> </w:t>
      </w:r>
      <w:r>
        <w:t xml:space="preserve">via crosswalks (trade, routing, customs, border checks).</w:t>
      </w:r>
      <w:r>
        <w:t xml:space="preserve"> </w:t>
      </w:r>
      <w:r>
        <w:t xml:space="preserve">SHAP explains model dependence, not causal policy effects (§</w:t>
      </w:r>
      <w:hyperlink w:anchor="sec:discussion">
        <w:r>
          <w:rPr>
            <w:rStyle w:val="Hyperlink"/>
          </w:rPr>
          <w:t xml:space="preserve">8</w:t>
        </w:r>
      </w:hyperlink>
      <w:r>
        <w:t xml:space="preserve">).</w:t>
      </w:r>
    </w:p>
    <w:bookmarkEnd w:id="38"/>
    <w:bookmarkStart w:id="39" w:name="sec:method-deploy"/>
    <w:p>
      <w:pPr>
        <w:pStyle w:val="Heading4"/>
      </w:pPr>
      <w:r>
        <w:t xml:space="preserve">Uncertainty and deployment.</w:t>
      </w:r>
    </w:p>
    <w:p>
      <w:pPr>
        <w:pStyle w:val="FirstParagraph"/>
      </w:pPr>
      <w:r>
        <w:t xml:space="preserve">Symmetric bands</w:t>
      </w:r>
      <w:r>
        <w:t xml:space="preserve"> </w:t>
      </w:r>
      <m:oMath>
        <m:r>
          <m:rPr>
            <m:sty m:val="p"/>
          </m:rPr>
          <m:t>[</m:t>
        </m:r>
        <m:sSub>
          <m:e>
            <m:acc>
              <m:accPr>
                <m:chr m:val="̂"/>
              </m:accPr>
              <m:e>
                <m:r>
                  <m:t>y</m:t>
                </m:r>
              </m:e>
            </m:acc>
          </m:e>
          <m:sub>
            <m:r>
              <m:rPr>
                <m:sty m:val="p"/>
              </m:rPr>
              <m:t>⋆</m:t>
            </m:r>
            <m:r>
              <m:rPr>
                <m:sty m:val="p"/>
              </m:rPr>
              <m:t>,</m:t>
            </m:r>
            <m:r>
              <m:t>k</m:t>
            </m:r>
          </m:sub>
        </m:sSub>
        <m:r>
          <m:rPr>
            <m:sty m:val="p"/>
          </m:rPr>
          <m:t>±</m:t>
        </m:r>
        <m:r>
          <m:t>q</m:t>
        </m:r>
        <m:r>
          <m:rPr>
            <m:sty m:val="p"/>
          </m:rPr>
          <m:t>]</m:t>
        </m:r>
      </m:oMath>
      <w:r>
        <w:t xml:space="preserve"> </w:t>
      </w:r>
      <w:r>
        <w:t xml:space="preserve">set</w:t>
      </w:r>
      <w:r>
        <w:t xml:space="preserve"> </w:t>
      </w:r>
      <m:oMath>
        <m:r>
          <m:t>q</m:t>
        </m:r>
      </m:oMath>
      <w:r>
        <w:t xml:space="preserve"> </w:t>
      </w:r>
      <w:r>
        <w:t xml:space="preserve">to the</w:t>
      </w:r>
      <w:r>
        <w:t xml:space="preserve"> </w:t>
      </w:r>
      <m:oMath>
        <m:sSup>
          <m:e>
            <m:r>
              <m:t>90</m:t>
            </m:r>
          </m:e>
          <m:sup>
            <m:r>
              <m:rPr>
                <m:sty m:val="p"/>
              </m:rPr>
              <m:t>t</m:t>
            </m:r>
            <m:r>
              <m:rPr>
                <m:sty m:val="p"/>
              </m:rPr>
              <m:t>h</m:t>
            </m:r>
          </m:sup>
        </m:sSup>
      </m:oMath>
      <w:r>
        <w:t xml:space="preserve"> </w:t>
      </w:r>
      <w:r>
        <w:t xml:space="preserve">percentile of</w:t>
      </w:r>
      <w:r>
        <w:t xml:space="preserve"> </w:t>
      </w:r>
      <m:oMath>
        <m:r>
          <m:rPr>
            <m:sty m:val="p"/>
          </m:rPr>
          <m:t>|</m:t>
        </m:r>
        <m:sSub>
          <m:e>
            <m:acc>
              <m:accPr>
                <m:chr m:val="̃"/>
              </m:accPr>
              <m:e>
                <m:r>
                  <m:t>y</m:t>
                </m:r>
              </m:e>
            </m:acc>
          </m:e>
          <m:sub>
            <m:r>
              <m:t>i</m:t>
            </m:r>
            <m:r>
              <m:rPr>
                <m:sty m:val="p"/>
              </m:rPr>
              <m:t>,</m:t>
            </m:r>
            <m:r>
              <m:t>k</m:t>
            </m:r>
          </m:sub>
        </m:sSub>
        <m:r>
          <m:rPr>
            <m:sty m:val="p"/>
          </m:rPr>
          <m:t>−</m:t>
        </m:r>
        <m:sSub>
          <m:e>
            <m:r>
              <m:t>y</m:t>
            </m:r>
          </m:e>
          <m:sub>
            <m:r>
              <m:t>i</m:t>
            </m:r>
            <m:r>
              <m:rPr>
                <m:sty m:val="p"/>
              </m:rPr>
              <m:t>,</m:t>
            </m:r>
            <m:r>
              <m:t>k</m:t>
            </m:r>
          </m:sub>
        </m:sSub>
        <m:r>
          <m:rPr>
            <m:sty m:val="p"/>
          </m:rPr>
          <m:t>|</m:t>
        </m:r>
      </m:oMath>
      <w:r>
        <w:t xml:space="preserve"> </w:t>
      </w:r>
      <w:r>
        <w:t xml:space="preserve">on</w:t>
      </w:r>
      <w:r>
        <w:t xml:space="preserve"> </w:t>
      </w:r>
      <m:oMath>
        <m:sSub>
          <m:e>
            <m:r>
              <m:rPr>
                <m:scr m:val="script"/>
                <m:sty m:val="p"/>
              </m:rPr>
              <m:t>D</m:t>
            </m:r>
          </m:e>
          <m:sub>
            <m:r>
              <m:rPr>
                <m:sty m:val="p"/>
              </m:rPr>
              <m:t>t</m:t>
            </m:r>
            <m:r>
              <m:rPr>
                <m:sty m:val="p"/>
              </m:rPr>
              <m:t>e</m:t>
            </m:r>
          </m:sub>
        </m:sSub>
      </m:oMath>
      <w:r>
        <w:t xml:space="preserve"> </w:t>
      </w:r>
      <w:r>
        <w:t xml:space="preserve">(Step 9), reporting empirical vs. nominal 90% coverage; Step 3 may set</w:t>
      </w:r>
      <w:r>
        <w:t xml:space="preserve"> </w:t>
      </w:r>
      <m:oMath>
        <m:r>
          <m:t>q</m:t>
        </m:r>
      </m:oMath>
      <w:r>
        <w:t xml:space="preserve"> </w:t>
      </w:r>
      <w:r>
        <w:t xml:space="preserve">from out-of-fold residuals among top-three CV models beforehand.</w:t>
      </w:r>
      <w:r>
        <w:t xml:space="preserve"> </w:t>
      </w:r>
      <w:r>
        <w:t xml:space="preserve">The scheme follows conformal</w:t>
      </w:r>
      <w:r>
        <w:t xml:space="preserve"> </w:t>
      </w:r>
      <w:r>
        <w:rPr>
          <w:i/>
          <w:iCs/>
        </w:rPr>
        <w:t xml:space="preserve">ideas</w:t>
      </w:r>
      <w:r>
        <w:t xml:space="preserve"> </w:t>
      </w:r>
      <w:r>
        <w:t xml:space="preserve">(Vovk et al. 2005; Angelopoulos and Bates 2023; Romano et al. 2019)</w:t>
      </w:r>
      <w:r>
        <w:t xml:space="preserve"> </w:t>
      </w:r>
      <w:r>
        <w:t xml:space="preserve">but, on a single fixed</w:t>
      </w:r>
      <w:r>
        <w:t xml:space="preserve"> </w:t>
      </w:r>
      <m:oMath>
        <m:sSub>
          <m:e>
            <m:r>
              <m:rPr>
                <m:scr m:val="script"/>
                <m:sty m:val="p"/>
              </m:rPr>
              <m:t>D</m:t>
            </m:r>
          </m:e>
          <m:sub>
            <m:r>
              <m:rPr>
                <m:sty m:val="p"/>
              </m:rPr>
              <m:t>t</m:t>
            </m:r>
            <m:r>
              <m:rPr>
                <m:sty m:val="p"/>
              </m:rPr>
              <m:t>r</m:t>
            </m:r>
          </m:sub>
        </m:sSub>
      </m:oMath>
      <w:r>
        <w:t xml:space="preserve">/</w:t>
      </w:r>
      <m:oMath>
        <m:sSub>
          <m:e>
            <m:r>
              <m:rPr>
                <m:scr m:val="script"/>
                <m:sty m:val="p"/>
              </m:rPr>
              <m:t>D</m:t>
            </m:r>
          </m:e>
          <m:sub>
            <m:r>
              <m:rPr>
                <m:sty m:val="p"/>
              </m:rPr>
              <m:t>t</m:t>
            </m:r>
            <m:r>
              <m:rPr>
                <m:sty m:val="p"/>
              </m:rPr>
              <m:t>e</m:t>
            </m:r>
          </m:sub>
        </m:sSub>
      </m:oMath>
      <w:r>
        <w:t xml:space="preserve"> </w:t>
      </w:r>
      <w:r>
        <w:t xml:space="preserve">partition, does not provide distribution-free guarantees; production deployments should reserve a dedicated calibration fold.</w:t>
      </w:r>
      <w:r>
        <w:t xml:space="preserve"> </w:t>
      </w:r>
      <w:r>
        <w:t xml:space="preserve">FastAPI (</w:t>
      </w:r>
      <w:r>
        <w:rPr>
          <w:rStyle w:val="VerbatimChar"/>
        </w:rPr>
        <w:t xml:space="preserve">POST /api/predict</w:t>
      </w:r>
      <w:r>
        <w:t xml:space="preserve">) serves retrained</w:t>
      </w:r>
      <w:r>
        <w:t xml:space="preserve"> </w:t>
      </w:r>
      <w:r>
        <w:rPr>
          <w:rStyle w:val="VerbatimChar"/>
        </w:rPr>
        <w:t xml:space="preserve">.joblib</w:t>
      </w:r>
      <w:r>
        <w:t xml:space="preserve"> </w:t>
      </w:r>
      <w:r>
        <w:t xml:space="preserve">models, scalers, interval metadata, and SHAP summaries; the UI groups</w:t>
      </w:r>
      <w:r>
        <w:t xml:space="preserve"> </w:t>
      </w:r>
      <m:oMath>
        <m:r>
          <m:rPr>
            <m:sty m:val="p"/>
          </m:rPr>
          <m:t>∼</m:t>
        </m:r>
        <m:r>
          <m:t>35</m:t>
        </m:r>
      </m:oMath>
      <w:r>
        <w:t xml:space="preserve"> </w:t>
      </w:r>
      <w:r>
        <w:t xml:space="preserve">levers into Volume, Routes, Customs, and Border Checks, applies policy locks, flags</w:t>
      </w:r>
      <w:r>
        <w:t xml:space="preserve"> </w:t>
      </w:r>
      <m:oMath>
        <m:sSub>
          <m:e>
            <m:r>
              <m:rPr>
                <m:sty m:val="p"/>
              </m:rPr>
              <m:t>Π</m:t>
            </m:r>
          </m:e>
          <m:sub>
            <m:r>
              <m:t>k</m:t>
            </m:r>
          </m:sub>
        </m:sSub>
      </m:oMath>
      <w:r>
        <w:t xml:space="preserve"> </w:t>
      </w:r>
      <w:r>
        <w:t xml:space="preserve">clipping, and surfaces error, interval width, CV stability, and SHAP drivers.</w:t>
      </w:r>
      <w:r>
        <w:t xml:space="preserve"> </w:t>
      </w:r>
      <w:r>
        <w:t xml:space="preserve">Optional LLM personas narrate the same structured snapshot for non-technical mentors.</w:t>
      </w:r>
    </w:p>
    <w:bookmarkEnd w:id="39"/>
    <w:bookmarkEnd w:id="40"/>
    <w:bookmarkEnd w:id="41"/>
    <w:bookmarkStart w:id="44" w:name="sec:experiments"/>
    <w:p>
      <w:pPr>
        <w:pStyle w:val="Heading1"/>
      </w:pPr>
      <w:r>
        <w:t xml:space="preserve">Experiments</w:t>
      </w:r>
    </w:p>
    <w:p>
      <w:pPr>
        <w:pStyle w:val="FirstParagraph"/>
      </w:pPr>
      <w:r>
        <w:t xml:space="preserve">We evaluate multi-output</w:t>
      </w:r>
      <w:r>
        <w:t xml:space="preserve"> </w:t>
      </w:r>
      <w:r>
        <w:rPr>
          <w:i/>
          <w:iCs/>
        </w:rPr>
        <w:t xml:space="preserve">regression</w:t>
      </w:r>
      <w:r>
        <w:t xml:space="preserve"> </w:t>
      </w:r>
      <w:r>
        <w:t xml:space="preserve">surrogates on the NOLHC computer experiment (§</w:t>
      </w:r>
      <w:hyperlink w:anchor="sec:method">
        <w:r>
          <w:rPr>
            <w:rStyle w:val="Hyperlink"/>
          </w:rPr>
          <w:t xml:space="preserve">5</w:t>
        </w:r>
      </w:hyperlink>
      <w:r>
        <w:t xml:space="preserve">, Figure </w:t>
      </w:r>
      <w:hyperlink w:anchor="fig:pipeline">
        <w:r>
          <w:rPr>
            <w:rStyle w:val="Hyperlink"/>
          </w:rPr>
          <w:t xml:space="preserve">1</w:t>
        </w:r>
      </w:hyperlink>
      <w:r>
        <w:t xml:space="preserve">).</w:t>
      </w:r>
      <w:r>
        <w:t xml:space="preserve"> </w:t>
      </w:r>
      <w:r>
        <w:t xml:space="preserve">Table </w:t>
      </w:r>
      <w:hyperlink w:anchor="tab:data">
        <w:r>
          <w:rPr>
            <w:rStyle w:val="Hyperlink"/>
          </w:rPr>
          <w:t xml:space="preserve">1</w:t>
        </w:r>
      </w:hyperlink>
      <w:r>
        <w:t xml:space="preserve"> </w:t>
      </w:r>
      <w:r>
        <w:t xml:space="preserve">(Appendix) records 129 design runs,</w:t>
      </w:r>
      <w:r>
        <w:t xml:space="preserve"> </w:t>
      </w:r>
      <m:oMath>
        <m:r>
          <m:t>d</m:t>
        </m:r>
        <m:r>
          <m:rPr>
            <m:sty m:val="p"/>
          </m:rPr>
          <m:t>=</m:t>
        </m:r>
        <m:r>
          <m:t>35</m:t>
        </m:r>
      </m:oMath>
      <w:r>
        <w:t xml:space="preserve"> </w:t>
      </w:r>
      <w:r>
        <w:t xml:space="preserve">inputs,</w:t>
      </w:r>
      <w:r>
        <w:t xml:space="preserve"> </w:t>
      </w:r>
      <m:oMath>
        <m:r>
          <m:t>K</m:t>
        </m:r>
        <m:r>
          <m:rPr>
            <m:sty m:val="p"/>
          </m:rPr>
          <m:t>=</m:t>
        </m:r>
        <m:r>
          <m:t>20</m:t>
        </m:r>
      </m:oMath>
      <w:r>
        <w:t xml:space="preserve"> </w:t>
      </w:r>
      <w:r>
        <w:t xml:space="preserve">KPIs, the 103/26 train–hold-out split, 19 core families, and repeated 10-fold CV (</w:t>
      </w:r>
      <m:oMath>
        <m:r>
          <m:rPr>
            <m:sty m:val="p"/>
          </m:rPr>
          <m:t>×</m:t>
        </m:r>
        <m:r>
          <m:t>3</m:t>
        </m:r>
      </m:oMath>
      <w:r>
        <w:t xml:space="preserve"> </w:t>
      </w:r>
      <w:r>
        <w:t xml:space="preserve">repeats).</w:t>
      </w:r>
      <w:r>
        <w:t xml:space="preserve"> </w:t>
      </w:r>
      <w:r>
        <w:t xml:space="preserve">Table </w:t>
      </w:r>
      <w:hyperlink w:anchor="tab:var-groups">
        <w:r>
          <w:rPr>
            <w:rStyle w:val="Hyperlink"/>
          </w:rPr>
          <w:t xml:space="preserve">[tab:var-groups]</w:t>
        </w:r>
      </w:hyperlink>
      <w:r>
        <w:t xml:space="preserve"> </w:t>
      </w:r>
      <w:r>
        <w:t xml:space="preserve">(Appendix) groups trade, routing, capacity, customs, and border-check inputs and the six agri, four non-agri, six route, and four utilisation outputs.</w:t>
      </w:r>
      <w:r>
        <w:t xml:space="preserve"> </w:t>
      </w:r>
      <w:r>
        <w:t xml:space="preserve">All reported scores are regression errors on continuous hours or utilisation fractions, not classification rates.</w:t>
      </w:r>
      <w:r>
        <w:t xml:space="preserve"> </w:t>
      </w:r>
      <w:r>
        <w:t xml:space="preserve">The experimental loop mirrors Figure </w:t>
      </w:r>
      <w:hyperlink w:anchor="fig:pipeline">
        <w:r>
          <w:rPr>
            <w:rStyle w:val="Hyperlink"/>
          </w:rPr>
          <w:t xml:space="preserve">1</w:t>
        </w:r>
      </w:hyperlink>
      <w:r>
        <w:t xml:space="preserve">: fit on</w:t>
      </w:r>
      <w:r>
        <w:t xml:space="preserve"> </w:t>
      </w:r>
      <m:oMath>
        <m:sSub>
          <m:e>
            <m:r>
              <m:rPr>
                <m:scr m:val="script"/>
                <m:sty m:val="p"/>
              </m:rPr>
              <m:t>D</m:t>
            </m:r>
          </m:e>
          <m:sub>
            <m:r>
              <m:rPr>
                <m:sty m:val="p"/>
              </m:rPr>
              <m:t>t</m:t>
            </m:r>
            <m:r>
              <m:rPr>
                <m:sty m:val="p"/>
              </m:rPr>
              <m:t>r</m:t>
            </m:r>
          </m:sub>
        </m:sSub>
      </m:oMath>
      <w:r>
        <w:t xml:space="preserve">, compare families with repeated CV and paired tests, explain</w:t>
      </w:r>
      <w:r>
        <w:t xml:space="preserve"> </w:t>
      </w:r>
      <w:r>
        <w:rPr>
          <w:rStyle w:val="VerbatimChar"/>
        </w:rPr>
        <w:t xml:space="preserve">composite_pre_test</w:t>
      </w:r>
      <w:r>
        <w:t xml:space="preserve"> </w:t>
      </w:r>
      <w:r>
        <w:t xml:space="preserve">winners with SHAP, then evaluate once on the fixed</w:t>
      </w:r>
      <w:r>
        <w:t xml:space="preserve"> </w:t>
      </w:r>
      <m:oMath>
        <m:sSub>
          <m:e>
            <m:r>
              <m:rPr>
                <m:scr m:val="script"/>
                <m:sty m:val="p"/>
              </m:rPr>
              <m:t>D</m:t>
            </m:r>
          </m:e>
          <m:sub>
            <m:r>
              <m:rPr>
                <m:sty m:val="p"/>
              </m:rPr>
              <m:t>t</m:t>
            </m:r>
            <m:r>
              <m:rPr>
                <m:sty m:val="p"/>
              </m:rPr>
              <m:t>e</m:t>
            </m:r>
          </m:sub>
        </m:sSub>
      </m:oMath>
      <w:r>
        <w:t xml:space="preserve"> </w:t>
      </w:r>
      <w:r>
        <w:t xml:space="preserve">split.</w:t>
      </w:r>
    </w:p>
    <w:bookmarkStart w:id="42" w:name="sec:exp-protocol"/>
    <w:p>
      <w:pPr>
        <w:pStyle w:val="Heading2"/>
      </w:pPr>
      <w:r>
        <w:t xml:space="preserve">Protocol and baselines</w:t>
      </w:r>
    </w:p>
    <w:p>
      <w:pPr>
        <w:pStyle w:val="FirstParagraph"/>
      </w:pPr>
      <w:r>
        <w:t xml:space="preserve">We follow §</w:t>
      </w:r>
      <w:hyperlink w:anchor="sec:method-protocol">
        <w:r>
          <w:rPr>
            <w:rStyle w:val="Hyperlink"/>
          </w:rPr>
          <w:t xml:space="preserve">5.2</w:t>
        </w:r>
      </w:hyperlink>
      <w:r>
        <w:t xml:space="preserve">:</w:t>
      </w:r>
      <w:r>
        <w:t xml:space="preserve"> </w:t>
      </w:r>
      <m:oMath>
        <m:sSub>
          <m:e>
            <m:r>
              <m:rPr>
                <m:scr m:val="script"/>
                <m:sty m:val="p"/>
              </m:rPr>
              <m:t>D</m:t>
            </m:r>
          </m:e>
          <m:sub>
            <m:r>
              <m:rPr>
                <m:sty m:val="p"/>
              </m:rPr>
              <m:t>t</m:t>
            </m:r>
            <m:r>
              <m:rPr>
                <m:sty m:val="p"/>
              </m:rPr>
              <m:t>e</m:t>
            </m:r>
          </m:sub>
        </m:sSub>
      </m:oMath>
      <w:r>
        <w:t xml:space="preserve"> </w:t>
      </w:r>
      <w:r>
        <w:t xml:space="preserve">is excluded from hyperparameter tuning and</w:t>
      </w:r>
      <w:r>
        <w:t xml:space="preserve"> </w:t>
      </w:r>
      <w:r>
        <w:rPr>
          <w:rStyle w:val="VerbatimChar"/>
        </w:rPr>
        <w:t xml:space="preserve">composite_pre_test</w:t>
      </w:r>
      <w:r>
        <w:t xml:space="preserve"> </w:t>
      </w:r>
      <w:r>
        <w:t xml:space="preserve">SHAP.</w:t>
      </w:r>
      <w:r>
        <w:t xml:space="preserve"> </w:t>
      </w:r>
      <w:r>
        <w:t xml:space="preserve">Each of 19 core families is scored with</w:t>
      </w:r>
      <w:r>
        <w:t xml:space="preserve"> </w:t>
      </w:r>
      <w:r>
        <w:rPr>
          <w:b/>
          <w:bCs/>
        </w:rPr>
        <w:t xml:space="preserve">repeated 10-fold CV</w:t>
      </w:r>
      <w:r>
        <w:t xml:space="preserve"> </w:t>
      </w:r>
      <w:r>
        <w:t xml:space="preserve">on</w:t>
      </w:r>
      <w:r>
        <w:t xml:space="preserve"> </w:t>
      </w:r>
      <m:oMath>
        <m:sSub>
          <m:e>
            <m:r>
              <m:rPr>
                <m:scr m:val="script"/>
                <m:sty m:val="p"/>
              </m:rPr>
              <m:t>D</m:t>
            </m:r>
          </m:e>
          <m:sub>
            <m:r>
              <m:rPr>
                <m:sty m:val="p"/>
              </m:rPr>
              <m:t>t</m:t>
            </m:r>
            <m:r>
              <m:rPr>
                <m:sty m:val="p"/>
              </m:rPr>
              <m:t>r</m:t>
            </m:r>
          </m:sub>
        </m:sSub>
      </m:oMath>
      <w:r>
        <w:t xml:space="preserve"> </w:t>
      </w:r>
      <w:r>
        <w:t xml:space="preserve">(three repeats, 30 RMSE values per configuration).</w:t>
      </w:r>
      <w:r>
        <w:t xml:space="preserve"> </w:t>
      </w:r>
      <w:r>
        <w:rPr>
          <w:rStyle w:val="VerbatimChar"/>
        </w:rPr>
        <w:t xml:space="preserve">Baseline_Mean</w:t>
      </w:r>
      <w:r>
        <w:t xml:space="preserve"> </w:t>
      </w:r>
      <w:r>
        <w:t xml:space="preserve">and</w:t>
      </w:r>
      <w:r>
        <w:t xml:space="preserve"> </w:t>
      </w:r>
      <w:r>
        <w:rPr>
          <w:rStyle w:val="VerbatimChar"/>
        </w:rPr>
        <w:t xml:space="preserve">Baseline_OLS</w:t>
      </w:r>
      <w:r>
        <w:t xml:space="preserve"> </w:t>
      </w:r>
      <w:r>
        <w:t xml:space="preserve">anchor whether the model zoo improves on trivial predictors.</w:t>
      </w:r>
    </w:p>
    <w:bookmarkEnd w:id="42"/>
    <w:bookmarkStart w:id="43" w:name="sec:exp-metrics"/>
    <w:p>
      <w:pPr>
        <w:pStyle w:val="Heading2"/>
      </w:pPr>
      <w:r>
        <w:t xml:space="preserve">Regression metrics and selection</w:t>
      </w:r>
    </w:p>
    <w:p>
      <w:pPr>
        <w:pStyle w:val="FirstParagraph"/>
      </w:pPr>
      <w:r>
        <w:t xml:space="preserve">For target</w:t>
      </w:r>
      <w:r>
        <w:t xml:space="preserve"> </w:t>
      </w:r>
      <m:oMath>
        <m:r>
          <m:t>k</m:t>
        </m:r>
      </m:oMath>
      <w:r>
        <w:t xml:space="preserve"> </w:t>
      </w:r>
      <w:r>
        <w:t xml:space="preserve">and index set</w:t>
      </w:r>
      <w:r>
        <w:t xml:space="preserve"> </w:t>
      </w:r>
      <m:oMath>
        <m:r>
          <m:rPr>
            <m:scr m:val="script"/>
            <m:sty m:val="p"/>
          </m:rPr>
          <m:t>V</m:t>
        </m:r>
      </m:oMath>
      <w:r>
        <w:t xml:space="preserve"> </w:t>
      </w:r>
      <w:r>
        <w:t xml:space="preserve">(CV or</w:t>
      </w:r>
      <w:r>
        <w:t xml:space="preserve"> </w:t>
      </w:r>
      <m:oMath>
        <m:sSub>
          <m:e>
            <m:r>
              <m:rPr>
                <m:scr m:val="script"/>
                <m:sty m:val="p"/>
              </m:rPr>
              <m:t>D</m:t>
            </m:r>
          </m:e>
          <m:sub>
            <m:r>
              <m:rPr>
                <m:sty m:val="p"/>
              </m:rPr>
              <m:t>t</m:t>
            </m:r>
            <m:r>
              <m:rPr>
                <m:sty m:val="p"/>
              </m:rPr>
              <m:t>e</m:t>
            </m:r>
          </m:sub>
        </m:sSub>
      </m:oMath>
      <w:r>
        <w:t xml:space="preserve">),</w:t>
      </w:r>
    </w:p>
    <w:p>
      <w:pPr>
        <w:pStyle w:val="BodyText"/>
      </w:pPr>
      <m:oMathPara>
        <m:oMathParaPr>
          <m:jc m:val="center"/>
        </m:oMathParaPr>
        <m:oMath>
          <m:eqArr>
            <m:e>
              <m:sSub>
                <m:e>
                  <m:r>
                    <m:rPr>
                      <m:sty m:val="p"/>
                    </m:rPr>
                    <m:t>R</m:t>
                  </m:r>
                  <m:r>
                    <m:rPr>
                      <m:sty m:val="p"/>
                    </m:rPr>
                    <m:t>M</m:t>
                  </m:r>
                  <m:r>
                    <m:rPr>
                      <m:sty m:val="p"/>
                    </m:rPr>
                    <m:t>S</m:t>
                  </m:r>
                  <m:r>
                    <m:rPr>
                      <m:sty m:val="p"/>
                    </m:rPr>
                    <m:t>E</m:t>
                  </m:r>
                </m:e>
                <m:sub>
                  <m:r>
                    <m:t>k</m:t>
                  </m:r>
                </m:sub>
              </m:sSub>
              <m:r>
                <m:t>&amp;</m:t>
              </m:r>
              <m:r>
                <m:rPr>
                  <m:sty m:val="p"/>
                </m:rPr>
                <m:t>=</m:t>
              </m:r>
              <m:rad>
                <m:radPr>
                  <m:degHide m:val="on"/>
                </m:radPr>
                <m:deg/>
                <m:e>
                  <m:f>
                    <m:fPr>
                      <m:type m:val="bar"/>
                    </m:fPr>
                    <m:num>
                      <m:r>
                        <m:t>1</m:t>
                      </m:r>
                    </m:num>
                    <m:den>
                      <m:r>
                        <m:rPr>
                          <m:sty m:val="p"/>
                        </m:rPr>
                        <m:t>|</m:t>
                      </m:r>
                      <m:r>
                        <m:rPr>
                          <m:scr m:val="script"/>
                          <m:sty m:val="p"/>
                        </m:rPr>
                        <m:t>V</m:t>
                      </m:r>
                      <m:r>
                        <m:rPr>
                          <m:sty m:val="p"/>
                        </m:rPr>
                        <m:t>|</m:t>
                      </m:r>
                    </m:den>
                  </m:f>
                  <m:nary>
                    <m:naryPr>
                      <m:chr m:val="∑"/>
                      <m:limLoc m:val="undOvr"/>
                      <m:subHide m:val="off"/>
                      <m:supHide m:val="on"/>
                    </m:naryPr>
                    <m:sub>
                      <m:r>
                        <m:t>i</m:t>
                      </m:r>
                      <m:r>
                        <m:rPr>
                          <m:sty m:val="p"/>
                        </m:rPr>
                        <m:t>∈</m:t>
                      </m:r>
                      <m:r>
                        <m:rPr>
                          <m:scr m:val="script"/>
                          <m:sty m:val="p"/>
                        </m:rPr>
                        <m:t>V</m:t>
                      </m:r>
                    </m:sub>
                    <m:sup>
                      <m:r>
                        <m:t>​</m:t>
                      </m:r>
                    </m:sup>
                    <m:e>
                      <m:r>
                        <m:rPr>
                          <m:sty m:val="p"/>
                        </m:rPr>
                        <m:t>(</m:t>
                      </m:r>
                    </m:e>
                  </m:nary>
                  <m:sSub>
                    <m:e>
                      <m:r>
                        <m:t>y</m:t>
                      </m:r>
                    </m:e>
                    <m:sub>
                      <m:r>
                        <m:t>i</m:t>
                      </m:r>
                      <m:r>
                        <m:rPr>
                          <m:sty m:val="p"/>
                        </m:rPr>
                        <m:t>,</m:t>
                      </m:r>
                      <m:r>
                        <m:t>k</m:t>
                      </m:r>
                    </m:sub>
                  </m:sSub>
                  <m:r>
                    <m:rPr>
                      <m:sty m:val="p"/>
                    </m:rPr>
                    <m:t>−</m:t>
                  </m:r>
                  <m:sSub>
                    <m:e>
                      <m:acc>
                        <m:accPr>
                          <m:chr m:val="̂"/>
                        </m:accPr>
                        <m:e>
                          <m:r>
                            <m:t>y</m:t>
                          </m:r>
                        </m:e>
                      </m:acc>
                    </m:e>
                    <m:sub>
                      <m:r>
                        <m:t>i</m:t>
                      </m:r>
                      <m:r>
                        <m:rPr>
                          <m:sty m:val="p"/>
                        </m:rPr>
                        <m:t>,</m:t>
                      </m:r>
                      <m:r>
                        <m:t>k</m:t>
                      </m:r>
                    </m:sub>
                  </m:sSub>
                  <m:sSup>
                    <m:e>
                      <m:r>
                        <m:rPr>
                          <m:sty m:val="p"/>
                        </m:rPr>
                        <m:t>)</m:t>
                      </m:r>
                    </m:e>
                    <m:sup>
                      <m:r>
                        <m:t>2</m:t>
                      </m:r>
                    </m:sup>
                  </m:sSup>
                </m:e>
              </m:rad>
              <m:r>
                <m:rPr>
                  <m:sty m:val="p"/>
                </m:rPr>
                <m:t>,</m:t>
              </m:r>
            </m:e>
            <m:e>
              <m:sSub>
                <m:e>
                  <m:r>
                    <m:rPr>
                      <m:sty m:val="p"/>
                    </m:rPr>
                    <m:t>M</m:t>
                  </m:r>
                  <m:r>
                    <m:rPr>
                      <m:sty m:val="p"/>
                    </m:rPr>
                    <m:t>A</m:t>
                  </m:r>
                  <m:r>
                    <m:rPr>
                      <m:sty m:val="p"/>
                    </m:rPr>
                    <m:t>E</m:t>
                  </m:r>
                </m:e>
                <m:sub>
                  <m:r>
                    <m:t>k</m:t>
                  </m:r>
                </m:sub>
              </m:sSub>
              <m:r>
                <m:t>&amp;</m:t>
              </m:r>
              <m:r>
                <m:rPr>
                  <m:sty m:val="p"/>
                </m:rPr>
                <m:t>=</m:t>
              </m:r>
              <m:f>
                <m:fPr>
                  <m:type m:val="bar"/>
                </m:fPr>
                <m:num>
                  <m:r>
                    <m:t>1</m:t>
                  </m:r>
                </m:num>
                <m:den>
                  <m:r>
                    <m:rPr>
                      <m:sty m:val="p"/>
                    </m:rPr>
                    <m:t>|</m:t>
                  </m:r>
                  <m:r>
                    <m:rPr>
                      <m:scr m:val="script"/>
                      <m:sty m:val="p"/>
                    </m:rPr>
                    <m:t>V</m:t>
                  </m:r>
                  <m:r>
                    <m:rPr>
                      <m:sty m:val="p"/>
                    </m:rPr>
                    <m:t>|</m:t>
                  </m:r>
                </m:den>
              </m:f>
              <m:nary>
                <m:naryPr>
                  <m:chr m:val="∑"/>
                  <m:limLoc m:val="undOvr"/>
                  <m:subHide m:val="off"/>
                  <m:supHide m:val="on"/>
                </m:naryPr>
                <m:sub>
                  <m:r>
                    <m:t>i</m:t>
                  </m:r>
                  <m:r>
                    <m:rPr>
                      <m:sty m:val="p"/>
                    </m:rPr>
                    <m:t>∈</m:t>
                  </m:r>
                  <m:r>
                    <m:rPr>
                      <m:scr m:val="script"/>
                      <m:sty m:val="p"/>
                    </m:rPr>
                    <m:t>V</m:t>
                  </m:r>
                </m:sub>
                <m:sup>
                  <m:r>
                    <m:t>​</m:t>
                  </m:r>
                </m:sup>
                <m:e>
                  <m:r>
                    <m:rPr>
                      <m:sty m:val="p"/>
                    </m:rPr>
                    <m:t>|</m:t>
                  </m:r>
                </m:e>
              </m:nary>
              <m:sSub>
                <m:e>
                  <m:r>
                    <m:t>y</m:t>
                  </m:r>
                </m:e>
                <m:sub>
                  <m:r>
                    <m:t>i</m:t>
                  </m:r>
                  <m:r>
                    <m:rPr>
                      <m:sty m:val="p"/>
                    </m:rPr>
                    <m:t>,</m:t>
                  </m:r>
                  <m:r>
                    <m:t>k</m:t>
                  </m:r>
                </m:sub>
              </m:sSub>
              <m:r>
                <m:rPr>
                  <m:sty m:val="p"/>
                </m:rPr>
                <m:t>−</m:t>
              </m:r>
              <m:sSub>
                <m:e>
                  <m:acc>
                    <m:accPr>
                      <m:chr m:val="̂"/>
                    </m:accPr>
                    <m:e>
                      <m:r>
                        <m:t>y</m:t>
                      </m:r>
                    </m:e>
                  </m:acc>
                </m:e>
                <m:sub>
                  <m:r>
                    <m:t>i</m:t>
                  </m:r>
                  <m:r>
                    <m:rPr>
                      <m:sty m:val="p"/>
                    </m:rPr>
                    <m:t>,</m:t>
                  </m:r>
                  <m:r>
                    <m:t>k</m:t>
                  </m:r>
                </m:sub>
              </m:sSub>
              <m:r>
                <m:rPr>
                  <m:sty m:val="p"/>
                </m:rPr>
                <m:t>|</m:t>
              </m:r>
              <m:r>
                <m:rPr>
                  <m:sty m:val="p"/>
                </m:rPr>
                <m:t>,</m:t>
              </m:r>
            </m:e>
            <m:e>
              <m:sSubSup>
                <m:e>
                  <m:r>
                    <m:t>R</m:t>
                  </m:r>
                </m:e>
                <m:sub>
                  <m:r>
                    <m:t>k</m:t>
                  </m:r>
                </m:sub>
                <m:sup>
                  <m:r>
                    <m:t>2</m:t>
                  </m:r>
                </m:sup>
              </m:sSubSup>
              <m:r>
                <m:t>&amp;</m:t>
              </m:r>
              <m:r>
                <m:rPr>
                  <m:sty m:val="p"/>
                </m:rPr>
                <m:t>=</m:t>
              </m:r>
              <m:r>
                <m:t>1</m:t>
              </m:r>
              <m:r>
                <m:rPr>
                  <m:sty m:val="p"/>
                </m:rPr>
                <m:t>−</m:t>
              </m:r>
              <m:f>
                <m:fPr>
                  <m:type m:val="bar"/>
                </m:fPr>
                <m:num>
                  <m:nary>
                    <m:naryPr>
                      <m:chr m:val="∑"/>
                      <m:limLoc m:val="undOvr"/>
                      <m:subHide m:val="off"/>
                      <m:supHide m:val="on"/>
                    </m:naryPr>
                    <m:sub>
                      <m:r>
                        <m:t>i</m:t>
                      </m:r>
                      <m:r>
                        <m:rPr>
                          <m:sty m:val="p"/>
                        </m:rPr>
                        <m:t>∈</m:t>
                      </m:r>
                      <m:r>
                        <m:rPr>
                          <m:scr m:val="script"/>
                          <m:sty m:val="p"/>
                        </m:rPr>
                        <m:t>V</m:t>
                      </m:r>
                    </m:sub>
                    <m:sup>
                      <m:r>
                        <m:t>​</m:t>
                      </m:r>
                    </m:sup>
                    <m:e>
                      <m:r>
                        <m:rPr>
                          <m:sty m:val="p"/>
                        </m:rPr>
                        <m:t>(</m:t>
                      </m:r>
                    </m:e>
                  </m:nary>
                  <m:sSub>
                    <m:e>
                      <m:r>
                        <m:t>y</m:t>
                      </m:r>
                    </m:e>
                    <m:sub>
                      <m:r>
                        <m:t>i</m:t>
                      </m:r>
                      <m:r>
                        <m:rPr>
                          <m:sty m:val="p"/>
                        </m:rPr>
                        <m:t>,</m:t>
                      </m:r>
                      <m:r>
                        <m:t>k</m:t>
                      </m:r>
                    </m:sub>
                  </m:sSub>
                  <m:r>
                    <m:rPr>
                      <m:sty m:val="p"/>
                    </m:rPr>
                    <m:t>−</m:t>
                  </m:r>
                  <m:sSub>
                    <m:e>
                      <m:acc>
                        <m:accPr>
                          <m:chr m:val="̂"/>
                        </m:accPr>
                        <m:e>
                          <m:r>
                            <m:t>y</m:t>
                          </m:r>
                        </m:e>
                      </m:acc>
                    </m:e>
                    <m:sub>
                      <m:r>
                        <m:t>i</m:t>
                      </m:r>
                      <m:r>
                        <m:rPr>
                          <m:sty m:val="p"/>
                        </m:rPr>
                        <m:t>,</m:t>
                      </m:r>
                      <m:r>
                        <m:t>k</m:t>
                      </m:r>
                    </m:sub>
                  </m:sSub>
                  <m:sSup>
                    <m:e>
                      <m:r>
                        <m:rPr>
                          <m:sty m:val="p"/>
                        </m:rPr>
                        <m:t>)</m:t>
                      </m:r>
                    </m:e>
                    <m:sup>
                      <m:r>
                        <m:t>2</m:t>
                      </m:r>
                    </m:sup>
                  </m:sSup>
                </m:num>
                <m:den>
                  <m:nary>
                    <m:naryPr>
                      <m:chr m:val="∑"/>
                      <m:limLoc m:val="undOvr"/>
                      <m:subHide m:val="off"/>
                      <m:supHide m:val="on"/>
                    </m:naryPr>
                    <m:sub>
                      <m:r>
                        <m:t>i</m:t>
                      </m:r>
                      <m:r>
                        <m:rPr>
                          <m:sty m:val="p"/>
                        </m:rPr>
                        <m:t>∈</m:t>
                      </m:r>
                      <m:r>
                        <m:rPr>
                          <m:scr m:val="script"/>
                          <m:sty m:val="p"/>
                        </m:rPr>
                        <m:t>V</m:t>
                      </m:r>
                    </m:sub>
                    <m:sup>
                      <m:r>
                        <m:t>​</m:t>
                      </m:r>
                    </m:sup>
                    <m:e>
                      <m:r>
                        <m:rPr>
                          <m:sty m:val="p"/>
                        </m:rPr>
                        <m:t>(</m:t>
                      </m:r>
                    </m:e>
                  </m:nary>
                  <m:sSub>
                    <m:e>
                      <m:r>
                        <m:t>y</m:t>
                      </m:r>
                    </m:e>
                    <m:sub>
                      <m:r>
                        <m:t>i</m:t>
                      </m:r>
                      <m:r>
                        <m:rPr>
                          <m:sty m:val="p"/>
                        </m:rPr>
                        <m:t>,</m:t>
                      </m:r>
                      <m:r>
                        <m:t>k</m:t>
                      </m:r>
                    </m:sub>
                  </m:sSub>
                  <m:r>
                    <m:rPr>
                      <m:sty m:val="p"/>
                    </m:rPr>
                    <m:t>−</m:t>
                  </m:r>
                  <m:sSub>
                    <m:e>
                      <m:acc>
                        <m:accPr>
                          <m:chr m:val="‾"/>
                        </m:accPr>
                        <m:e>
                          <m:r>
                            <m:t>y</m:t>
                          </m:r>
                        </m:e>
                      </m:acc>
                    </m:e>
                    <m:sub>
                      <m:r>
                        <m:t>k</m:t>
                      </m:r>
                    </m:sub>
                  </m:sSub>
                  <m:sSup>
                    <m:e>
                      <m:r>
                        <m:rPr>
                          <m:sty m:val="p"/>
                        </m:rPr>
                        <m:t>)</m:t>
                      </m:r>
                    </m:e>
                    <m:sup>
                      <m:r>
                        <m:t>2</m:t>
                      </m:r>
                    </m:sup>
                  </m:sSup>
                </m:den>
              </m:f>
              <m:r>
                <m:rPr>
                  <m:sty m:val="p"/>
                </m:rPr>
                <m:t>,</m:t>
              </m:r>
            </m:e>
          </m:eqArr>
        </m:oMath>
      </m:oMathPara>
    </w:p>
    <w:p>
      <w:pPr>
        <w:pStyle w:val="FirstParagraph"/>
      </w:pPr>
      <w:r>
        <w:t xml:space="preserve">with</w:t>
      </w:r>
      <w:r>
        <w:t xml:space="preserve"> </w:t>
      </w:r>
      <m:oMath>
        <m:sSub>
          <m:e>
            <m:acc>
              <m:accPr>
                <m:chr m:val="‾"/>
              </m:accPr>
              <m:e>
                <m:r>
                  <m:t>y</m:t>
                </m:r>
              </m:e>
            </m:acc>
          </m:e>
          <m:sub>
            <m:r>
              <m:t>k</m:t>
            </m:r>
          </m:sub>
        </m:sSub>
      </m:oMath>
      <w:r>
        <w:t xml:space="preserve"> </w:t>
      </w:r>
      <w:r>
        <w:t xml:space="preserve">the mean of</w:t>
      </w:r>
      <w:r>
        <w:t xml:space="preserve"> </w:t>
      </w:r>
      <m:oMath>
        <m:sSub>
          <m:e>
            <m:r>
              <m:t>y</m:t>
            </m:r>
          </m:e>
          <m:sub>
            <m:r>
              <m:rPr>
                <m:sty m:val="p"/>
              </m:rPr>
              <m:t>⋅</m:t>
            </m:r>
            <m:r>
              <m:rPr>
                <m:sty m:val="p"/>
              </m:rPr>
              <m:t>,</m:t>
            </m:r>
            <m:r>
              <m:t>k</m:t>
            </m:r>
          </m:sub>
        </m:sSub>
      </m:oMath>
      <w:r>
        <w:t xml:space="preserve"> </w:t>
      </w:r>
      <w:r>
        <w:t xml:space="preserve">on</w:t>
      </w:r>
      <w:r>
        <w:t xml:space="preserve"> </w:t>
      </w:r>
      <m:oMath>
        <m:r>
          <m:rPr>
            <m:scr m:val="script"/>
            <m:sty m:val="p"/>
          </m:rPr>
          <m:t>V</m:t>
        </m:r>
      </m:oMath>
      <w:r>
        <w:t xml:space="preserve">.</w:t>
      </w:r>
      <w:r>
        <w:t xml:space="preserve"> </w:t>
      </w:r>
      <w:r>
        <w:t xml:space="preserve">RMSE is the primary selection objective; MAE and</w:t>
      </w:r>
      <w:r>
        <w:t xml:space="preserve"> </w:t>
      </w:r>
      <m:oMath>
        <m:sSup>
          <m:e>
            <m:r>
              <m:t>R</m:t>
            </m:r>
          </m:e>
          <m:sup>
            <m:r>
              <m:t>2</m:t>
            </m:r>
          </m:sup>
        </m:sSup>
      </m:oMath>
      <w:r>
        <w:t xml:space="preserve"> </w:t>
      </w:r>
      <w:r>
        <w:t xml:space="preserve">support interpretation under heavy tails.</w:t>
      </w:r>
      <w:r>
        <w:t xml:space="preserve"> </w:t>
      </w:r>
      <w:r>
        <w:t xml:space="preserve">Hyperparameter search minimises mean CV RMSE with tie-break on fold RMSE standard deviation.</w:t>
      </w:r>
      <w:r>
        <w:t xml:space="preserve"> </w:t>
      </w:r>
      <w:r>
        <w:t xml:space="preserve">KPIs are continuous capacity-planning quantities, so we do not binarise them for accuracy, precision, recall, F1, or AUC; doing so would mis-state the port capacity-planning task.</w:t>
      </w:r>
      <w:r>
        <w:t xml:space="preserve"> </w:t>
      </w:r>
      <w:r>
        <w:t xml:space="preserve">We report</w:t>
      </w:r>
      <w:r>
        <w:t xml:space="preserve"> </w:t>
      </w:r>
      <w:hyperlink w:anchor="eq:rmse">
        <w:r>
          <w:rPr>
            <w:rStyle w:val="Hyperlink"/>
          </w:rPr>
          <w:t xml:space="preserve">[eq:rmse]</w:t>
        </w:r>
      </w:hyperlink>
      <w:r>
        <w:t xml:space="preserve">–</w:t>
      </w:r>
      <w:hyperlink w:anchor="eq:r2">
        <w:r>
          <w:rPr>
            <w:rStyle w:val="Hyperlink"/>
          </w:rPr>
          <w:t xml:space="preserve">[eq:r2]</w:t>
        </w:r>
      </w:hyperlink>
      <w:r>
        <w:t xml:space="preserve"> </w:t>
      </w:r>
      <w:r>
        <w:t xml:space="preserve">plus descriptive interval coverage (§</w:t>
      </w:r>
      <w:hyperlink w:anchor="sec:results-intervals">
        <w:r>
          <w:rPr>
            <w:rStyle w:val="Hyperlink"/>
          </w:rPr>
          <w:t xml:space="preserve">7.3</w:t>
        </w:r>
      </w:hyperlink>
      <w:r>
        <w:t xml:space="preserve">).</w:t>
      </w:r>
    </w:p>
    <w:p>
      <w:pPr>
        <w:pStyle w:val="BodyText"/>
      </w:pPr>
      <w:r>
        <w:rPr>
          <w:b/>
          <w:bCs/>
        </w:rPr>
        <w:t xml:space="preserve">Selection.</w:t>
      </w:r>
      <w:r>
        <w:t xml:space="preserve"> </w:t>
      </w:r>
      <w:r>
        <w:t xml:space="preserve">Per target</w:t>
      </w:r>
      <w:r>
        <w:t xml:space="preserve"> </w:t>
      </w:r>
      <m:oMath>
        <m:r>
          <m:t>k</m:t>
        </m:r>
      </m:oMath>
      <w:r>
        <w:t xml:space="preserve">, lowest mean CV RMSE across</w:t>
      </w:r>
      <w:r>
        <w:t xml:space="preserve"> </w:t>
      </w:r>
      <m:oMath>
        <m:r>
          <m:rPr>
            <m:sty m:val="p"/>
          </m:rPr>
          <m:t>(</m:t>
        </m:r>
        <m:r>
          <m:t>m</m:t>
        </m:r>
        <m:r>
          <m:rPr>
            <m:sty m:val="p"/>
          </m:rPr>
          <m:t>,</m:t>
        </m:r>
        <m:r>
          <m:t>θ</m:t>
        </m:r>
        <m:r>
          <m:rPr>
            <m:sty m:val="p"/>
          </m:rPr>
          <m:t>)</m:t>
        </m:r>
      </m:oMath>
      <w:r>
        <w:t xml:space="preserve"> </w:t>
      </w:r>
      <w:r>
        <w:t xml:space="preserve">with</w:t>
      </w:r>
      <w:r>
        <w:t xml:space="preserve"> </w:t>
      </w:r>
      <m:oMath>
        <m:r>
          <m:t>σ</m:t>
        </m:r>
      </m:oMath>
      <w:r>
        <w:t xml:space="preserve"> </w:t>
      </w:r>
      <w:r>
        <w:t xml:space="preserve">tie-break defines the CV winner (</w:t>
      </w:r>
      <w:r>
        <w:rPr>
          <w:rStyle w:val="VerbatimChar"/>
        </w:rPr>
        <w:t xml:space="preserve">cv_best_model_per_target.csv</w:t>
      </w:r>
      <w:r>
        <w:t xml:space="preserve">).</w:t>
      </w:r>
      <w:r>
        <w:t xml:space="preserve"> </w:t>
      </w:r>
      <w:r>
        <w:t xml:space="preserve">Aligned fold RMSE vectors support</w:t>
      </w:r>
      <w:r>
        <w:t xml:space="preserve"> </w:t>
      </w:r>
      <m:oMath>
        <m:r>
          <m:t>171</m:t>
        </m:r>
      </m:oMath>
      <w:r>
        <w:t xml:space="preserve"> </w:t>
      </w:r>
      <w:r>
        <w:t xml:space="preserve">paired</w:t>
      </w:r>
      <w:r>
        <w:t xml:space="preserve"> </w:t>
      </w:r>
      <m:oMath>
        <m:r>
          <m:t>t</m:t>
        </m:r>
      </m:oMath>
      <w:r>
        <w:t xml:space="preserve">-tests (</w:t>
      </w:r>
      <m:oMath>
        <m:r>
          <m:t>α</m:t>
        </m:r>
        <m:r>
          <m:rPr>
            <m:sty m:val="p"/>
          </m:rPr>
          <m:t>=</m:t>
        </m:r>
        <m:r>
          <m:t>0.05</m:t>
        </m:r>
      </m:oMath>
      <w:r>
        <w:t xml:space="preserve">); win counts inform reporting but are not a multiple-testing guarantee.</w:t>
      </w:r>
      <w:r>
        <w:t xml:space="preserve"> </w:t>
      </w:r>
      <w:r>
        <w:t xml:space="preserve">Friedman/Nemenyi (Step 2) ranks the 19 core families across 30 repeated-fold blocks and forms tier-1 clusters (Figure </w:t>
      </w:r>
      <w:hyperlink w:anchor="fig:heatmap-placeholder">
        <w:r>
          <w:rPr>
            <w:rStyle w:val="Hyperlink"/>
          </w:rPr>
          <w:t xml:space="preserve">5</w:t>
        </w:r>
      </w:hyperlink>
      <w:r>
        <w:t xml:space="preserve"> </w:t>
      </w:r>
      <w:r>
        <w:t xml:space="preserve">in Appendix).</w:t>
      </w:r>
      <w:r>
        <w:t xml:space="preserve"> </w:t>
      </w:r>
      <w:r>
        <w:t xml:space="preserve">Step 10 composites weight</w:t>
      </w:r>
      <w:r>
        <w:t xml:space="preserve"> </w:t>
      </w:r>
      <w:r>
        <w:rPr>
          <w:b/>
          <w:bCs/>
        </w:rPr>
        <w:t xml:space="preserve">40%</w:t>
      </w:r>
      <w:r>
        <w:t xml:space="preserve"> </w:t>
      </w:r>
      <w:r>
        <w:t xml:space="preserve">normalised CV RMSE,</w:t>
      </w:r>
      <w:r>
        <w:t xml:space="preserve"> </w:t>
      </w:r>
      <w:r>
        <w:rPr>
          <w:b/>
          <w:bCs/>
        </w:rPr>
        <w:t xml:space="preserve">40%</w:t>
      </w:r>
      <w:r>
        <w:t xml:space="preserve"> </w:t>
      </w:r>
      <w:r>
        <w:t xml:space="preserve">normalised hold-out RMSE, and</w:t>
      </w:r>
      <w:r>
        <w:t xml:space="preserve"> </w:t>
      </w:r>
      <w:r>
        <w:rPr>
          <w:b/>
          <w:bCs/>
        </w:rPr>
        <w:t xml:space="preserve">20%</w:t>
      </w:r>
      <w:r>
        <w:t xml:space="preserve"> </w:t>
      </w:r>
      <w:r>
        <w:t xml:space="preserve">paired win rate.</w:t>
      </w:r>
      <w:r>
        <w:t xml:space="preserve"> </w:t>
      </w:r>
      <w:r>
        <w:rPr>
          <w:rStyle w:val="VerbatimChar"/>
        </w:rPr>
        <w:t xml:space="preserve">composite_pre_test</w:t>
      </w:r>
      <w:r>
        <w:t xml:space="preserve"> </w:t>
      </w:r>
      <w:r>
        <w:t xml:space="preserve">drops the test term for SHAP and pre-conformal checkpoints; Table </w:t>
      </w:r>
      <w:hyperlink w:anchor="tab:holdout-all">
        <w:r>
          <w:rPr>
            <w:rStyle w:val="Hyperlink"/>
          </w:rPr>
          <w:t xml:space="preserve">3</w:t>
        </w:r>
      </w:hyperlink>
      <w:r>
        <w:t xml:space="preserve"> </w:t>
      </w:r>
      <w:r>
        <w:t xml:space="preserve">(Appendix) remains the definitive generalisation readout.</w:t>
      </w:r>
      <w:r>
        <w:t xml:space="preserve"> </w:t>
      </w:r>
      <w:r>
        <w:t xml:space="preserve">Table </w:t>
      </w:r>
      <w:hyperlink w:anchor="tab:scenarios">
        <w:r>
          <w:rPr>
            <w:rStyle w:val="Hyperlink"/>
          </w:rPr>
          <w:t xml:space="preserve">2</w:t>
        </w:r>
      </w:hyperlink>
      <w:r>
        <w:t xml:space="preserve"> </w:t>
      </w:r>
      <w:r>
        <w:t xml:space="preserve">(Appendix) lists UI stress families (direct-route shift, non-tariff barriers) for mentor workshops; inference still uses the full 35-parameter vector with policy locks (§</w:t>
      </w:r>
      <w:hyperlink w:anchor="sec:method-deploy">
        <w:r>
          <w:rPr>
            <w:rStyle w:val="Hyperlink"/>
          </w:rPr>
          <w:t xml:space="preserve">5.4.0.3</w:t>
        </w:r>
      </w:hyperlink>
      <w:r>
        <w:t xml:space="preserve">).</w:t>
      </w:r>
    </w:p>
    <w:bookmarkEnd w:id="43"/>
    <w:bookmarkEnd w:id="44"/>
    <w:bookmarkStart w:id="48" w:name="sec:results"/>
    <w:p>
      <w:pPr>
        <w:pStyle w:val="Heading1"/>
      </w:pPr>
      <w:r>
        <w:t xml:space="preserve">Results</w:t>
      </w:r>
    </w:p>
    <w:bookmarkStart w:id="45" w:name="sec:results-summary"/>
    <w:p>
      <w:pPr>
        <w:pStyle w:val="Heading2"/>
      </w:pPr>
      <w:r>
        <w:t xml:space="preserve">Cross-validation and hold-out summary</w:t>
      </w:r>
    </w:p>
    <w:p>
      <w:pPr>
        <w:pStyle w:val="FirstParagraph"/>
      </w:pPr>
      <w:r>
        <w:t xml:space="preserve">Table </w:t>
      </w:r>
      <w:hyperlink w:anchor="tab:holdout-all">
        <w:r>
          <w:rPr>
            <w:rStyle w:val="Hyperlink"/>
          </w:rPr>
          <w:t xml:space="preserve">3</w:t>
        </w:r>
      </w:hyperlink>
      <w:r>
        <w:t xml:space="preserve"> </w:t>
      </w:r>
      <w:r>
        <w:t xml:space="preserve">(Appendix) summarises hold-out RMSE, MAE, and</w:t>
      </w:r>
      <w:r>
        <w:t xml:space="preserve"> </w:t>
      </w:r>
      <m:oMath>
        <m:sSup>
          <m:e>
            <m:r>
              <m:t>R</m:t>
            </m:r>
          </m:e>
          <m:sup>
            <m:r>
              <m:t>2</m:t>
            </m:r>
          </m:sup>
        </m:sSup>
      </m:oMath>
      <w:r>
        <w:t xml:space="preserve"> </w:t>
      </w:r>
      <w:r>
        <w:t xml:space="preserve">for representative targets; all 20 appear in</w:t>
      </w:r>
      <w:r>
        <w:t xml:space="preserve"> </w:t>
      </w:r>
      <w:r>
        <w:rPr>
          <w:rStyle w:val="VerbatimChar"/>
        </w:rPr>
        <w:t xml:space="preserve">selected_holdout_summary.csv</w:t>
      </w:r>
      <w:r>
        <w:t xml:space="preserve">.</w:t>
      </w:r>
      <w:r>
        <w:t xml:space="preserve"> </w:t>
      </w:r>
      <w:r>
        <w:t xml:space="preserve">On</w:t>
      </w:r>
      <w:r>
        <w:t xml:space="preserve"> </w:t>
      </w:r>
      <m:oMath>
        <m:sSub>
          <m:e>
            <m:r>
              <m:rPr>
                <m:scr m:val="script"/>
                <m:sty m:val="p"/>
              </m:rPr>
              <m:t>D</m:t>
            </m:r>
          </m:e>
          <m:sub>
            <m:r>
              <m:rPr>
                <m:sty m:val="p"/>
              </m:rPr>
              <m:t>t</m:t>
            </m:r>
            <m:r>
              <m:rPr>
                <m:sty m:val="p"/>
              </m:rPr>
              <m:t>r</m:t>
            </m:r>
          </m:sub>
        </m:sSub>
      </m:oMath>
      <w:r>
        <w:t xml:space="preserve">, CV-best configurations beat</w:t>
      </w:r>
      <w:r>
        <w:t xml:space="preserve"> </w:t>
      </w:r>
      <w:r>
        <w:rPr>
          <w:rStyle w:val="VerbatimChar"/>
        </w:rPr>
        <w:t xml:space="preserve">Baseline_Mean</w:t>
      </w:r>
      <w:r>
        <w:t xml:space="preserve"> </w:t>
      </w:r>
      <w:r>
        <w:t xml:space="preserve">and</w:t>
      </w:r>
      <w:r>
        <w:t xml:space="preserve"> </w:t>
      </w:r>
      <w:r>
        <w:rPr>
          <w:rStyle w:val="VerbatimChar"/>
        </w:rPr>
        <w:t xml:space="preserve">Baseline_OLS</w:t>
      </w:r>
      <w:r>
        <w:t xml:space="preserve"> </w:t>
      </w:r>
      <w:r>
        <w:t xml:space="preserve">on mean CV RMSE (</w:t>
      </w:r>
      <w:r>
        <w:rPr>
          <w:b/>
          <w:bCs/>
        </w:rPr>
        <w:t xml:space="preserve">20/20</w:t>
      </w:r>
      <w:r>
        <w:t xml:space="preserve">).</w:t>
      </w:r>
      <w:r>
        <w:t xml:space="preserve"> </w:t>
      </w:r>
      <w:r>
        <w:t xml:space="preserve">After retraining on</w:t>
      </w:r>
      <w:r>
        <w:t xml:space="preserve"> </w:t>
      </w:r>
      <m:oMath>
        <m:sSub>
          <m:e>
            <m:r>
              <m:rPr>
                <m:scr m:val="script"/>
                <m:sty m:val="p"/>
              </m:rPr>
              <m:t>D</m:t>
            </m:r>
          </m:e>
          <m:sub>
            <m:r>
              <m:rPr>
                <m:sty m:val="p"/>
              </m:rPr>
              <m:t>t</m:t>
            </m:r>
            <m:r>
              <m:rPr>
                <m:sty m:val="p"/>
              </m:rPr>
              <m:t>r</m:t>
            </m:r>
          </m:sub>
        </m:sSub>
      </m:oMath>
      <w:r>
        <w:t xml:space="preserve">, hold-out evaluation (</w:t>
      </w:r>
      <m:oMath>
        <m:r>
          <m:rPr>
            <m:sty m:val="p"/>
          </m:rPr>
          <m:t>|</m:t>
        </m:r>
        <m:sSub>
          <m:e>
            <m:r>
              <m:rPr>
                <m:scr m:val="script"/>
                <m:sty m:val="p"/>
              </m:rPr>
              <m:t>D</m:t>
            </m:r>
          </m:e>
          <m:sub>
            <m:r>
              <m:rPr>
                <m:sty m:val="p"/>
              </m:rPr>
              <m:t>t</m:t>
            </m:r>
            <m:r>
              <m:rPr>
                <m:sty m:val="p"/>
              </m:rPr>
              <m:t>e</m:t>
            </m:r>
          </m:sub>
        </m:sSub>
        <m:r>
          <m:rPr>
            <m:sty m:val="p"/>
          </m:rPr>
          <m:t>|</m:t>
        </m:r>
        <m:r>
          <m:rPr>
            <m:sty m:val="p"/>
          </m:rPr>
          <m:t>=</m:t>
        </m:r>
        <m:r>
          <m:t>26</m:t>
        </m:r>
      </m:oMath>
      <w:r>
        <w:t xml:space="preserve">) yields mean test RMSE</w:t>
      </w:r>
      <w:r>
        <w:t xml:space="preserve"> </w:t>
      </w:r>
      <m:oMath>
        <m:r>
          <m:t>5.29</m:t>
        </m:r>
      </m:oMath>
      <w:r>
        <w:t xml:space="preserve">, mean MAE</w:t>
      </w:r>
      <w:r>
        <w:t xml:space="preserve"> </w:t>
      </w:r>
      <m:oMath>
        <m:r>
          <m:t>4.06</m:t>
        </m:r>
      </m:oMath>
      <w:r>
        <w:t xml:space="preserve">, and mean</w:t>
      </w:r>
      <w:r>
        <w:t xml:space="preserve"> </w:t>
      </w:r>
      <m:oMath>
        <m:sSup>
          <m:e>
            <m:r>
              <m:t>R</m:t>
            </m:r>
          </m:e>
          <m:sup>
            <m:r>
              <m:t>2</m:t>
            </m:r>
          </m:sup>
        </m:sSup>
        <m:r>
          <m:rPr>
            <m:sty m:val="p"/>
          </m:rPr>
          <m:t>=</m:t>
        </m:r>
        <m:r>
          <m:t>0.74</m:t>
        </m:r>
      </m:oMath>
      <w:r>
        <w:t xml:space="preserve">.</w:t>
      </w:r>
      <w:r>
        <w:t xml:space="preserve"> </w:t>
      </w:r>
      <w:r>
        <w:t xml:space="preserve">Deployed surrogates beat the stronger baseline on test RMSE for</w:t>
      </w:r>
      <w:r>
        <w:t xml:space="preserve"> </w:t>
      </w:r>
      <w:r>
        <w:rPr>
          <w:b/>
          <w:bCs/>
        </w:rPr>
        <w:t xml:space="preserve">16/20</w:t>
      </w:r>
      <w:r>
        <w:t xml:space="preserve"> </w:t>
      </w:r>
      <w:r>
        <w:t xml:space="preserve">targets; three wait-time KPIs are within</w:t>
      </w:r>
      <w:r>
        <w:t xml:space="preserve"> </w:t>
      </w:r>
      <m:oMath>
        <m:r>
          <m:rPr>
            <m:sty m:val="p"/>
          </m:rPr>
          <m:t>∼</m:t>
        </m:r>
        <m:r>
          <m:t>1</m:t>
        </m:r>
        <m:r>
          <m:rPr>
            <m:sty m:val="p"/>
          </m:rPr>
          <m:t>%</m:t>
        </m:r>
      </m:oMath>
      <w:r>
        <w:t xml:space="preserve"> </w:t>
      </w:r>
      <w:r>
        <w:t xml:space="preserve">of best baseline RMSE while often improving MAE.</w:t>
      </w:r>
      <w:r>
        <w:t xml:space="preserve"> </w:t>
      </w:r>
      <w:r>
        <w:t xml:space="preserve">Hours-scale transit and wait KPIs dominate the unweighted mean RMSE (</w:t>
      </w:r>
      <m:oMath>
        <m:r>
          <m:t>5.29</m:t>
        </m:r>
      </m:oMath>
      <w:r>
        <w:t xml:space="preserve">), so aggregate means should be read alongside per-target tables.</w:t>
      </w:r>
      <w:r>
        <w:t xml:space="preserve"> </w:t>
      </w:r>
      <w:r>
        <w:t xml:space="preserve">The principal exception is</w:t>
      </w:r>
      <w:r>
        <w:t xml:space="preserve"> </w:t>
      </w:r>
      <w:r>
        <w:rPr>
          <w:rStyle w:val="VerbatimChar"/>
        </w:rPr>
        <w:t xml:space="preserve">WT_IB_NA_Ross</w:t>
      </w:r>
      <w:r>
        <w:t xml:space="preserve"> </w:t>
      </w:r>
      <w:r>
        <w:t xml:space="preserve">(</w:t>
      </w:r>
      <w:r>
        <w:rPr>
          <w:rStyle w:val="VerbatimChar"/>
        </w:rPr>
        <w:t xml:space="preserve">SVR_RBF</w:t>
      </w:r>
      <w:r>
        <w:t xml:space="preserve">: RMSE</w:t>
      </w:r>
      <w:r>
        <w:t xml:space="preserve"> </w:t>
      </w:r>
      <m:oMath>
        <m:r>
          <m:t>9.65</m:t>
        </m:r>
      </m:oMath>
      <w:r>
        <w:t xml:space="preserve"> </w:t>
      </w:r>
      <w:r>
        <w:t xml:space="preserve">vs. OLS</w:t>
      </w:r>
      <w:r>
        <w:t xml:space="preserve"> </w:t>
      </w:r>
      <m:oMath>
        <m:r>
          <m:t>9.22</m:t>
        </m:r>
      </m:oMath>
      <w:r>
        <w:t xml:space="preserve">,</w:t>
      </w:r>
      <w:r>
        <w:t xml:space="preserve"> </w:t>
      </w:r>
      <m:oMath>
        <m:r>
          <m:rPr>
            <m:sty m:val="p"/>
          </m:rPr>
          <m:t>+</m:t>
        </m:r>
        <m:r>
          <m:t>4.7</m:t>
        </m:r>
        <m:r>
          <m:rPr>
            <m:sty m:val="p"/>
          </m:rPr>
          <m:t>%</m:t>
        </m:r>
      </m:oMath>
      <w:r>
        <w:t xml:space="preserve">,</w:t>
      </w:r>
      <w:r>
        <w:t xml:space="preserve"> </w:t>
      </w:r>
      <m:oMath>
        <m:sSup>
          <m:e>
            <m:r>
              <m:t>R</m:t>
            </m:r>
          </m:e>
          <m:sup>
            <m:r>
              <m:t>2</m:t>
            </m:r>
          </m:sup>
        </m:sSup>
        <m:r>
          <m:rPr>
            <m:sty m:val="p"/>
          </m:rPr>
          <m:t>≈</m:t>
        </m:r>
        <m:r>
          <m:t>0.03</m:t>
        </m:r>
      </m:oMath>
      <w:r>
        <w:t xml:space="preserve">).</w:t>
      </w:r>
      <w:r>
        <w:t xml:space="preserve"> </w:t>
      </w:r>
      <w:r>
        <w:t xml:space="preserve">Largest gains vs. OLS are on agri transit:</w:t>
      </w:r>
      <w:r>
        <w:t xml:space="preserve"> </w:t>
      </w:r>
      <w:r>
        <w:rPr>
          <w:rStyle w:val="VerbatimChar"/>
        </w:rPr>
        <w:t xml:space="preserve">TT_OB_Agri</w:t>
      </w:r>
      <w:r>
        <w:t xml:space="preserve"> </w:t>
      </w:r>
      <w:r>
        <w:t xml:space="preserve">(ExtraTrees,</w:t>
      </w:r>
      <w:r>
        <w:t xml:space="preserve"> </w:t>
      </w:r>
      <m:oMath>
        <m:r>
          <m:t>5.41</m:t>
        </m:r>
      </m:oMath>
      <w:r>
        <w:t xml:space="preserve"> </w:t>
      </w:r>
      <w:r>
        <w:t xml:space="preserve">vs. </w:t>
      </w:r>
      <m:oMath>
        <m:r>
          <m:t>26.15</m:t>
        </m:r>
      </m:oMath>
      <w:r>
        <w:t xml:space="preserve">,</w:t>
      </w:r>
      <w:r>
        <w:t xml:space="preserve"> </w:t>
      </w:r>
      <m:oMath>
        <m:r>
          <m:rPr>
            <m:sty m:val="p"/>
          </m:rPr>
          <m:t>∼</m:t>
        </m:r>
        <m:r>
          <m:t>79</m:t>
        </m:r>
        <m:r>
          <m:rPr>
            <m:sty m:val="p"/>
          </m:rPr>
          <m:t>%</m:t>
        </m:r>
      </m:oMath>
      <w:r>
        <w:t xml:space="preserve">,</w:t>
      </w:r>
      <w:r>
        <w:t xml:space="preserve"> </w:t>
      </w:r>
      <m:oMath>
        <m:sSup>
          <m:e>
            <m:r>
              <m:t>R</m:t>
            </m:r>
          </m:e>
          <m:sup>
            <m:r>
              <m:t>2</m:t>
            </m:r>
          </m:sup>
        </m:sSup>
        <m:r>
          <m:rPr>
            <m:sty m:val="p"/>
          </m:rPr>
          <m:t>=</m:t>
        </m:r>
        <m:r>
          <m:t>0.97</m:t>
        </m:r>
      </m:oMath>
      <w:r>
        <w:t xml:space="preserve">) and</w:t>
      </w:r>
      <w:r>
        <w:t xml:space="preserve"> </w:t>
      </w:r>
      <w:r>
        <w:rPr>
          <w:rStyle w:val="VerbatimChar"/>
        </w:rPr>
        <w:t xml:space="preserve">TT_IB_Agri</w:t>
      </w:r>
      <w:r>
        <w:t xml:space="preserve"> </w:t>
      </w:r>
      <w:r>
        <w:t xml:space="preserve">(</w:t>
      </w:r>
      <m:oMath>
        <m:r>
          <m:t>7.92</m:t>
        </m:r>
      </m:oMath>
      <w:r>
        <w:t xml:space="preserve"> </w:t>
      </w:r>
      <w:r>
        <w:t xml:space="preserve">vs. </w:t>
      </w:r>
      <m:oMath>
        <m:r>
          <m:t>29.48</m:t>
        </m:r>
      </m:oMath>
      <w:r>
        <w:t xml:space="preserve">,</w:t>
      </w:r>
      <w:r>
        <w:t xml:space="preserve"> </w:t>
      </w:r>
      <m:oMath>
        <m:r>
          <m:rPr>
            <m:sty m:val="p"/>
          </m:rPr>
          <m:t>∼</m:t>
        </m:r>
        <m:r>
          <m:t>73</m:t>
        </m:r>
        <m:r>
          <m:rPr>
            <m:sty m:val="p"/>
          </m:rPr>
          <m:t>%</m:t>
        </m:r>
      </m:oMath>
      <w:r>
        <w:t xml:space="preserve">,</w:t>
      </w:r>
      <w:r>
        <w:t xml:space="preserve"> </w:t>
      </w:r>
      <m:oMath>
        <m:sSup>
          <m:e>
            <m:r>
              <m:t>R</m:t>
            </m:r>
          </m:e>
          <m:sup>
            <m:r>
              <m:t>2</m:t>
            </m:r>
          </m:sup>
        </m:sSup>
        <m:r>
          <m:rPr>
            <m:sty m:val="p"/>
          </m:rPr>
          <m:t>=</m:t>
        </m:r>
        <m:r>
          <m:t>0.97</m:t>
        </m:r>
      </m:oMath>
      <w:r>
        <w:t xml:space="preserve">).</w:t>
      </w:r>
    </w:p>
    <w:bookmarkEnd w:id="45"/>
    <w:bookmarkStart w:id="46" w:name="sec:results-diagnostics"/>
    <w:p>
      <w:pPr>
        <w:pStyle w:val="Heading2"/>
      </w:pPr>
      <w:r>
        <w:t xml:space="preserve">Diagnostics, families, and uncertainty</w:t>
      </w:r>
    </w:p>
    <w:p>
      <w:pPr>
        <w:pStyle w:val="FirstParagraph"/>
      </w:pPr>
      <w:r>
        <w:t xml:space="preserve">Figure </w:t>
      </w:r>
      <w:hyperlink w:anchor="fig:residual-agri">
        <w:r>
          <w:rPr>
            <w:rStyle w:val="Hyperlink"/>
          </w:rPr>
          <w:t xml:space="preserve">2</w:t>
        </w:r>
      </w:hyperlink>
      <w:r>
        <w:t xml:space="preserve"> </w:t>
      </w:r>
      <w:r>
        <w:t xml:space="preserve">(Appendix) shows tight hold-out fit for</w:t>
      </w:r>
      <w:r>
        <w:t xml:space="preserve"> </w:t>
      </w:r>
      <w:r>
        <w:rPr>
          <w:rStyle w:val="VerbatimChar"/>
        </w:rPr>
        <w:t xml:space="preserve">TT_OB_Agri</w:t>
      </w:r>
      <w:r>
        <w:t xml:space="preserve">; Figure </w:t>
      </w:r>
      <w:hyperlink w:anchor="fig:residual-failure">
        <w:r>
          <w:rPr>
            <w:rStyle w:val="Hyperlink"/>
          </w:rPr>
          <w:t xml:space="preserve">3</w:t>
        </w:r>
      </w:hyperlink>
      <w:r>
        <w:t xml:space="preserve"> </w:t>
      </w:r>
      <w:r>
        <w:t xml:space="preserve">(Appendix) shows elevated RMSE and bias on</w:t>
      </w:r>
      <w:r>
        <w:t xml:space="preserve"> </w:t>
      </w:r>
      <w:r>
        <w:rPr>
          <w:rStyle w:val="VerbatimChar"/>
        </w:rPr>
        <w:t xml:space="preserve">WT_IB_NA_Ross</w:t>
      </w:r>
      <w:r>
        <w:t xml:space="preserve">; Figure </w:t>
      </w:r>
      <w:hyperlink w:anchor="fig:residual-util">
        <w:r>
          <w:rPr>
            <w:rStyle w:val="Hyperlink"/>
          </w:rPr>
          <w:t xml:space="preserve">4</w:t>
        </w:r>
      </w:hyperlink>
      <w:r>
        <w:t xml:space="preserve"> </w:t>
      </w:r>
      <w:r>
        <w:t xml:space="preserve">(Appendix) shows low-error utilisation for</w:t>
      </w:r>
      <w:r>
        <w:t xml:space="preserve"> </w:t>
      </w:r>
      <w:r>
        <w:rPr>
          <w:rStyle w:val="VerbatimChar"/>
        </w:rPr>
        <w:t xml:space="preserve">Uti_DAFM_D</w:t>
      </w:r>
      <w:r>
        <w:t xml:space="preserve"> </w:t>
      </w:r>
      <w:r>
        <w:t xml:space="preserve">(</w:t>
      </w:r>
      <m:oMath>
        <m:r>
          <m:t>n</m:t>
        </m:r>
        <m:r>
          <m:rPr>
            <m:sty m:val="p"/>
          </m:rPr>
          <m:t>=</m:t>
        </m:r>
        <m:r>
          <m:t>26</m:t>
        </m:r>
      </m:oMath>
      <w:r>
        <w:t xml:space="preserve">).</w:t>
      </w:r>
      <w:r>
        <w:t xml:space="preserve"> </w:t>
      </w:r>
      <w:r>
        <w:t xml:space="preserve">Most targets reach empirical 90% coverage</w:t>
      </w:r>
      <w:r>
        <w:t xml:space="preserve"> </w:t>
      </w:r>
      <m:oMath>
        <m:r>
          <m:rPr>
            <m:sty m:val="p"/>
          </m:rPr>
          <m:t>≈</m:t>
        </m:r>
        <m:r>
          <m:t>0.885</m:t>
        </m:r>
      </m:oMath>
      <w:r>
        <w:t xml:space="preserve">; several show heavy tails despite low RMSE.</w:t>
      </w:r>
    </w:p>
    <w:p>
      <w:pPr>
        <w:pStyle w:val="BodyText"/>
      </w:pPr>
      <w:r>
        <w:t xml:space="preserve">Tree ensembles (ExtraTrees, CatBoost) dominate skewed agri transit where capacity and trade volumes interact with route mix.</w:t>
      </w:r>
      <w:r>
        <w:t xml:space="preserve"> </w:t>
      </w:r>
      <w:r>
        <w:t xml:space="preserve">Lasso wins volatile landbridge waits (</w:t>
      </w:r>
      <w:r>
        <w:rPr>
          <w:rStyle w:val="VerbatimChar"/>
        </w:rPr>
        <w:t xml:space="preserve">WT_IB_LB</w:t>
      </w:r>
      <w:r>
        <w:t xml:space="preserve">,</w:t>
      </w:r>
      <w:r>
        <w:t xml:space="preserve"> </w:t>
      </w:r>
      <w:r>
        <w:rPr>
          <w:rStyle w:val="VerbatimChar"/>
        </w:rPr>
        <w:t xml:space="preserve">TT_IB_LB</w:t>
      </w:r>
      <w:r>
        <w:t xml:space="preserve">); GPR_Matern excels on utilisation (</w:t>
      </w:r>
      <w:r>
        <w:rPr>
          <w:rStyle w:val="VerbatimChar"/>
        </w:rPr>
        <w:t xml:space="preserve">Uti_DAFM_R</w:t>
      </w:r>
      <w:r>
        <w:t xml:space="preserve"> </w:t>
      </w:r>
      <w:r>
        <w:t xml:space="preserve">RMSE</w:t>
      </w:r>
      <w:r>
        <w:t xml:space="preserve"> </w:t>
      </w:r>
      <m:oMath>
        <m:r>
          <m:t>0.016</m:t>
        </m:r>
      </m:oMath>
      <w:r>
        <w:t xml:space="preserve">,</w:t>
      </w:r>
      <w:r>
        <w:t xml:space="preserve"> </w:t>
      </w:r>
      <m:oMath>
        <m:sSup>
          <m:e>
            <m:r>
              <m:t>R</m:t>
            </m:r>
          </m:e>
          <m:sup>
            <m:r>
              <m:t>2</m:t>
            </m:r>
          </m:sup>
        </m:sSup>
        <m:r>
          <m:rPr>
            <m:sty m:val="p"/>
          </m:rPr>
          <m:t>=</m:t>
        </m:r>
        <m:r>
          <m:t>0.93</m:t>
        </m:r>
      </m:oMath>
      <w:r>
        <w:t xml:space="preserve">).</w:t>
      </w:r>
      <w:r>
        <w:t xml:space="preserve"> </w:t>
      </w:r>
      <w:r>
        <w:t xml:space="preserve">For</w:t>
      </w:r>
      <w:r>
        <w:t xml:space="preserve"> </w:t>
      </w:r>
      <w:r>
        <w:rPr>
          <w:rStyle w:val="VerbatimChar"/>
        </w:rPr>
        <w:t xml:space="preserve">WT_IB_NA_Ross</w:t>
      </w:r>
      <w:r>
        <w:t xml:space="preserve">, wide CV</w:t>
      </w:r>
      <w:r>
        <w:t xml:space="preserve"> </w:t>
      </w:r>
      <m:oMath>
        <m:r>
          <m:t>σ</m:t>
        </m:r>
      </m:oMath>
      <w:r>
        <w:t xml:space="preserve"> </w:t>
      </w:r>
      <w:r>
        <w:t xml:space="preserve">and weak</w:t>
      </w:r>
      <w:r>
        <w:t xml:space="preserve"> </w:t>
      </w:r>
      <m:oMath>
        <m:sSup>
          <m:e>
            <m:r>
              <m:t>R</m:t>
            </m:r>
          </m:e>
          <m:sup>
            <m:r>
              <m:t>2</m:t>
            </m:r>
          </m:sup>
        </m:sSup>
      </m:oMath>
      <w:r>
        <w:t xml:space="preserve"> </w:t>
      </w:r>
      <w:r>
        <w:t xml:space="preserve">indicate no family consistently beats OLS; deployed SVR trades lower MAE (</w:t>
      </w:r>
      <m:oMath>
        <m:r>
          <m:t>2.90</m:t>
        </m:r>
      </m:oMath>
      <w:r>
        <w:t xml:space="preserve"> </w:t>
      </w:r>
      <w:r>
        <w:t xml:space="preserve">vs. </w:t>
      </w:r>
      <m:oMath>
        <m:r>
          <m:t>5.26</m:t>
        </m:r>
      </m:oMath>
      <w:r>
        <w:t xml:space="preserve">) for worse RMSE.</w:t>
      </w:r>
      <w:r>
        <w:t xml:space="preserve"> </w:t>
      </w:r>
      <w:r>
        <w:t xml:space="preserve">CatBoost wins several direct-route transit targets but can show negative</w:t>
      </w:r>
      <w:r>
        <w:t xml:space="preserve"> </w:t>
      </w:r>
      <m:oMath>
        <m:sSup>
          <m:e>
            <m:r>
              <m:t>R</m:t>
            </m:r>
          </m:e>
          <m:sup>
            <m:r>
              <m:t>2</m:t>
            </m:r>
          </m:sup>
        </m:sSup>
      </m:oMath>
      <w:r>
        <w:t xml:space="preserve"> </w:t>
      </w:r>
      <w:r>
        <w:t xml:space="preserve">on thin-variance splits (</w:t>
      </w:r>
      <w:r>
        <w:rPr>
          <w:rStyle w:val="VerbatimChar"/>
        </w:rPr>
        <w:t xml:space="preserve">TT_IB_DR</w:t>
      </w:r>
      <w:r>
        <w:t xml:space="preserve">), reinforcing per-target dashboards in the UI.</w:t>
      </w:r>
      <w:r>
        <w:t xml:space="preserve"> </w:t>
      </w:r>
      <w:r>
        <w:t xml:space="preserve">Global SHAP on</w:t>
      </w:r>
      <w:r>
        <w:t xml:space="preserve"> </w:t>
      </w:r>
      <w:r>
        <w:rPr>
          <w:rStyle w:val="VerbatimChar"/>
        </w:rPr>
        <w:t xml:space="preserve">composite_pre_test</w:t>
      </w:r>
      <w:r>
        <w:t xml:space="preserve"> </w:t>
      </w:r>
      <w:r>
        <w:t xml:space="preserve">winners ranks</w:t>
      </w:r>
      <w:r>
        <w:t xml:space="preserve"> </w:t>
      </w:r>
      <w:r>
        <w:rPr>
          <w:rStyle w:val="VerbatimChar"/>
        </w:rPr>
        <w:t xml:space="preserve">VCap_Dub_*</w:t>
      </w:r>
      <w:r>
        <w:t xml:space="preserve"> </w:t>
      </w:r>
      <w:r>
        <w:t xml:space="preserve">and agri trade highest for transit;</w:t>
      </w:r>
      <w:r>
        <w:t xml:space="preserve"> </w:t>
      </w:r>
      <w:r>
        <w:rPr>
          <w:rStyle w:val="VerbatimChar"/>
        </w:rPr>
        <w:t xml:space="preserve">ChkTime_Doc</w:t>
      </w:r>
      <w:r>
        <w:t xml:space="preserve"> </w:t>
      </w:r>
      <w:r>
        <w:t xml:space="preserve">and DAFM bays lead waits (Figure </w:t>
      </w:r>
      <w:hyperlink w:anchor="fig:shap-placeholder">
        <w:r>
          <w:rPr>
            <w:rStyle w:val="Hyperlink"/>
          </w:rPr>
          <w:t xml:space="preserve">6</w:t>
        </w:r>
      </w:hyperlink>
      <w:r>
        <w:t xml:space="preserve"> </w:t>
      </w:r>
      <w:r>
        <w:t xml:space="preserve">in Appendix;</w:t>
      </w:r>
      <w:r>
        <w:t xml:space="preserve"> </w:t>
      </w:r>
      <w:r>
        <w:rPr>
          <w:rStyle w:val="VerbatimChar"/>
        </w:rPr>
        <w:t xml:space="preserve">xai_shap_top_features_long.csv</w:t>
      </w:r>
      <w:r>
        <w:t xml:space="preserve">).</w:t>
      </w:r>
      <w:r>
        <w:t xml:space="preserve"> </w:t>
      </w:r>
      <w:r>
        <w:t xml:space="preserve">Friedman/Nemenyi tier clusters discourage over-interpreting a single CV winner when several families are tied on fold RMSE.</w:t>
      </w:r>
    </w:p>
    <w:bookmarkEnd w:id="46"/>
    <w:bookmarkStart w:id="47" w:name="sec:results-intervals"/>
    <w:p>
      <w:pPr>
        <w:pStyle w:val="Heading2"/>
      </w:pPr>
      <w:r>
        <w:t xml:space="preserve">Uncertainty intervals</w:t>
      </w:r>
    </w:p>
    <w:p>
      <w:pPr>
        <w:pStyle w:val="FirstParagraph"/>
      </w:pPr>
      <w:r>
        <w:t xml:space="preserve">Symmetric 90% bands set</w:t>
      </w:r>
      <w:r>
        <w:t xml:space="preserve"> </w:t>
      </w:r>
      <m:oMath>
        <m:r>
          <m:t>q</m:t>
        </m:r>
      </m:oMath>
      <w:r>
        <w:t xml:space="preserve"> </w:t>
      </w:r>
      <w:r>
        <w:t xml:space="preserve">to the hold-out</w:t>
      </w:r>
      <w:r>
        <w:t xml:space="preserve"> </w:t>
      </w:r>
      <m:oMath>
        <m:r>
          <m:rPr>
            <m:sty m:val="p"/>
          </m:rPr>
          <m:t>|</m:t>
        </m:r>
        <m:r>
          <m:t>r</m:t>
        </m:r>
        <m:r>
          <m:rPr>
            <m:sty m:val="p"/>
          </m:rPr>
          <m:t>|</m:t>
        </m:r>
      </m:oMath>
      <w:r>
        <w:t xml:space="preserve"> </w:t>
      </w:r>
      <w:r>
        <w:t xml:space="preserve">quantile per deployed target (Step 9).</w:t>
      </w:r>
      <w:r>
        <w:t xml:space="preserve"> </w:t>
      </w:r>
      <w:r>
        <w:t xml:space="preserve">Coverage is descriptive (</w:t>
      </w:r>
      <m:oMath>
        <m:r>
          <m:rPr>
            <m:sty m:val="p"/>
          </m:rPr>
          <m:t>≈</m:t>
        </m:r>
        <m:r>
          <m:t>88.5</m:t>
        </m:r>
        <m:r>
          <m:rPr>
            <m:sty m:val="p"/>
          </m:rPr>
          <m:t>%</m:t>
        </m:r>
      </m:oMath>
      <w:r>
        <w:t xml:space="preserve"> </w:t>
      </w:r>
      <w:r>
        <w:t xml:space="preserve">aggregate, not a split-conformal guarantee); half-widths track hold-out RMSE (e.g. </w:t>
      </w:r>
      <m:oMath>
        <m:r>
          <m:rPr>
            <m:sty m:val="p"/>
          </m:rPr>
          <m:t>∼</m:t>
        </m:r>
        <m:r>
          <m:t>9.0</m:t>
        </m:r>
      </m:oMath>
      <w:r>
        <w:t xml:space="preserve"> h on</w:t>
      </w:r>
      <w:r>
        <w:t xml:space="preserve"> </w:t>
      </w:r>
      <w:r>
        <w:rPr>
          <w:rStyle w:val="VerbatimChar"/>
        </w:rPr>
        <w:t xml:space="preserve">TT_OB_Agri</w:t>
      </w:r>
      <w:r>
        <w:t xml:space="preserve"> </w:t>
      </w:r>
      <w:r>
        <w:t xml:space="preserve">vs. </w:t>
      </w:r>
      <m:oMath>
        <m:r>
          <m:rPr>
            <m:sty m:val="p"/>
          </m:rPr>
          <m:t>∼</m:t>
        </m:r>
        <m:r>
          <m:t>0.06</m:t>
        </m:r>
      </m:oMath>
      <w:r>
        <w:t xml:space="preserve"> </w:t>
      </w:r>
      <w:r>
        <w:t xml:space="preserve">on</w:t>
      </w:r>
      <w:r>
        <w:t xml:space="preserve"> </w:t>
      </w:r>
      <w:r>
        <w:rPr>
          <w:rStyle w:val="VerbatimChar"/>
        </w:rPr>
        <w:t xml:space="preserve">Uti_DAFM_D</w:t>
      </w:r>
      <w:r>
        <w:t xml:space="preserve">).</w:t>
      </w:r>
      <w:r>
        <w:t xml:space="preserve"> </w:t>
      </w:r>
      <w:r>
        <w:t xml:space="preserve">Step 3 optionally calibrates</w:t>
      </w:r>
      <w:r>
        <w:t xml:space="preserve"> </w:t>
      </w:r>
      <m:oMath>
        <m:r>
          <m:t>q</m:t>
        </m:r>
      </m:oMath>
      <w:r>
        <w:t xml:space="preserve"> </w:t>
      </w:r>
      <w:r>
        <w:t xml:space="preserve">from out-of-fold residuals among top-three CV models before sign-off.</w:t>
      </w:r>
    </w:p>
    <w:bookmarkEnd w:id="47"/>
    <w:bookmarkEnd w:id="48"/>
    <w:bookmarkStart w:id="52" w:name="sec:discussion"/>
    <w:p>
      <w:pPr>
        <w:pStyle w:val="Heading1"/>
      </w:pPr>
      <w:r>
        <w:t xml:space="preserve">Discussion</w:t>
      </w:r>
    </w:p>
    <w:bookmarkStart w:id="49" w:name="interpretation."/>
    <w:p>
      <w:pPr>
        <w:pStyle w:val="Heading4"/>
      </w:pPr>
      <w:r>
        <w:t xml:space="preserve">Interpretation.</w:t>
      </w:r>
    </w:p>
    <w:p>
      <w:pPr>
        <w:pStyle w:val="FirstParagraph"/>
      </w:pPr>
      <w:r>
        <w:t xml:space="preserve">The pipeline replaces per-scenario AnyLogic reruns with surrogates that track KPIs across scales: sub-hour utilisation, route-level transit, multi-hour agri corridors, and landbridge waits exceeding 20 h.</w:t>
      </w:r>
      <w:r>
        <w:t xml:space="preserve"> </w:t>
      </w:r>
      <w:r>
        <w:t xml:space="preserve">Empirical winners match simulator structure: tree ensembles capture capacity–volume interactions on skewed agri transit; Lasso selects sparse check-time and volume drivers on volatile landbridge waits; GPR_Matern smooths low-noise utilisation surfaces.</w:t>
      </w:r>
      <w:r>
        <w:t xml:space="preserve"> </w:t>
      </w:r>
      <w:r>
        <w:rPr>
          <w:rStyle w:val="VerbatimChar"/>
        </w:rPr>
        <w:t xml:space="preserve">WT_IB_NA_Ross</w:t>
      </w:r>
      <w:r>
        <w:t xml:space="preserve"> </w:t>
      </w:r>
      <w:r>
        <w:t xml:space="preserve">(</w:t>
      </w:r>
      <m:oMath>
        <m:sSup>
          <m:e>
            <m:r>
              <m:t>R</m:t>
            </m:r>
          </m:e>
          <m:sup>
            <m:r>
              <m:t>2</m:t>
            </m:r>
          </m:sup>
        </m:sSup>
        <m:r>
          <m:rPr>
            <m:sty m:val="p"/>
          </m:rPr>
          <m:t>≈</m:t>
        </m:r>
        <m:r>
          <m:t>0.03</m:t>
        </m:r>
      </m:oMath>
      <w:r>
        <w:t xml:space="preserve">, RMSE above OLS despite better MAE) shows that dashboards must surface</w:t>
      </w:r>
      <w:r>
        <w:t xml:space="preserve"> </w:t>
      </w:r>
      <w:r>
        <w:rPr>
          <w:i/>
          <w:iCs/>
        </w:rPr>
        <w:t xml:space="preserve">per-KPI</w:t>
      </w:r>
      <w:r>
        <w:t xml:space="preserve"> </w:t>
      </w:r>
      <w:r>
        <w:t xml:space="preserve">reliability, not one global score.</w:t>
      </w:r>
      <w:r>
        <w:t xml:space="preserve"> </w:t>
      </w:r>
      <w:r>
        <w:t xml:space="preserve">Workshops should pair point estimates with SHAP and interval width (§</w:t>
      </w:r>
      <w:hyperlink w:anchor="sec:intro">
        <w:r>
          <w:rPr>
            <w:rStyle w:val="Hyperlink"/>
          </w:rPr>
          <w:t xml:space="preserve">[sec:intro]</w:t>
        </w:r>
      </w:hyperlink>
      <w:r>
        <w:t xml:space="preserve">); negative</w:t>
      </w:r>
      <w:r>
        <w:t xml:space="preserve"> </w:t>
      </w:r>
      <m:oMath>
        <m:sSup>
          <m:e>
            <m:r>
              <m:t>R</m:t>
            </m:r>
          </m:e>
          <m:sup>
            <m:r>
              <m:t>2</m:t>
            </m:r>
          </m:sup>
        </m:sSup>
      </m:oMath>
      <w:r>
        <w:t xml:space="preserve"> </w:t>
      </w:r>
      <w:r>
        <w:t xml:space="preserve">on</w:t>
      </w:r>
      <w:r>
        <w:t xml:space="preserve"> </w:t>
      </w:r>
      <w:r>
        <w:rPr>
          <w:rStyle w:val="VerbatimChar"/>
        </w:rPr>
        <w:t xml:space="preserve">TT_IB_DR</w:t>
      </w:r>
      <w:r>
        <w:t xml:space="preserve"> </w:t>
      </w:r>
      <w:r>
        <w:t xml:space="preserve">and wide agri bands warrant simulation back-checks, not automated policy commits.</w:t>
      </w:r>
    </w:p>
    <w:bookmarkEnd w:id="49"/>
    <w:bookmarkStart w:id="50" w:name="overfitting-and-data-limits."/>
    <w:p>
      <w:pPr>
        <w:pStyle w:val="Heading4"/>
      </w:pPr>
      <w:r>
        <w:t xml:space="preserve">Overfitting and data limits.</w:t>
      </w:r>
    </w:p>
    <w:p>
      <w:pPr>
        <w:pStyle w:val="FirstParagraph"/>
      </w:pPr>
      <w:r>
        <w:t xml:space="preserve">Computer-experiment metamodels with</w:t>
      </w:r>
      <w:r>
        <w:t xml:space="preserve"> </w:t>
      </w:r>
      <m:oMath>
        <m:r>
          <m:t>n</m:t>
        </m:r>
        <m:r>
          <m:rPr>
            <m:sty m:val="p"/>
          </m:rPr>
          <m:t>≪</m:t>
        </m:r>
        <m:sSup>
          <m:e>
            <m:r>
              <m:t>2</m:t>
            </m:r>
          </m:e>
          <m:sup>
            <m:r>
              <m:t>d</m:t>
            </m:r>
          </m:sup>
        </m:sSup>
      </m:oMath>
      <w:r>
        <w:t xml:space="preserve"> </w:t>
      </w:r>
      <w:r>
        <w:t xml:space="preserve">are prone to interpolation that fails off-design</w:t>
      </w:r>
      <w:r>
        <w:t xml:space="preserve"> </w:t>
      </w:r>
      <w:r>
        <w:t xml:space="preserve">(</w:t>
      </w:r>
      <w:r>
        <w:t xml:space="preserve">Vabalas et al.</w:t>
      </w:r>
      <w:r>
        <w:t xml:space="preserve"> </w:t>
      </w:r>
      <w:r>
        <w:t xml:space="preserve">2019; Razavi et al. 2012;</w:t>
      </w:r>
      <w:r>
        <w:t xml:space="preserve"> </w:t>
      </w:r>
      <w:r>
        <w:t xml:space="preserve">Simpson et al.</w:t>
      </w:r>
      <w:r>
        <w:t xml:space="preserve"> </w:t>
      </w:r>
      <w:r>
        <w:t xml:space="preserve">2001)</w:t>
      </w:r>
      <w:r>
        <w:t xml:space="preserve">.</w:t>
      </w:r>
      <w:r>
        <w:t xml:space="preserve"> </w:t>
      </w:r>
      <w:r>
        <w:t xml:space="preserve">Our mitigations—held-out</w:t>
      </w:r>
      <w:r>
        <w:t xml:space="preserve"> </w:t>
      </w:r>
      <m:oMath>
        <m:sSub>
          <m:e>
            <m:r>
              <m:rPr>
                <m:scr m:val="script"/>
                <m:sty m:val="p"/>
              </m:rPr>
              <m:t>D</m:t>
            </m:r>
          </m:e>
          <m:sub>
            <m:r>
              <m:rPr>
                <m:sty m:val="p"/>
              </m:rPr>
              <m:t>t</m:t>
            </m:r>
            <m:r>
              <m:rPr>
                <m:sty m:val="p"/>
              </m:rPr>
              <m:t>e</m:t>
            </m:r>
          </m:sub>
        </m:sSub>
      </m:oMath>
      <w:r>
        <w:t xml:space="preserve">, repeated 10-fold CV, fold-stability tie-breaks, and Friedman/Nemenyi comparisons—are necessary but not sufficient for claims outside the NOLHC hull.</w:t>
      </w:r>
      <w:r>
        <w:t xml:space="preserve"> </w:t>
      </w:r>
      <w:r>
        <w:t xml:space="preserve">Expanding the design toward extreme border-check and direct-route corners</w:t>
      </w:r>
      <w:r>
        <w:t xml:space="preserve"> </w:t>
      </w:r>
      <w:r>
        <w:t xml:space="preserve">(Viana 2016)</w:t>
      </w:r>
      <w:r>
        <w:t xml:space="preserve"> </w:t>
      </w:r>
      <w:r>
        <w:t xml:space="preserve">is the robust path for weak targets such as Rosslare non-agri waits.</w:t>
      </w:r>
    </w:p>
    <w:bookmarkEnd w:id="50"/>
    <w:bookmarkStart w:id="51" w:name="X4155b8b4701e6f0497107f58dbcc2b150c65bb9"/>
    <w:p>
      <w:pPr>
        <w:pStyle w:val="Heading4"/>
      </w:pPr>
      <w:r>
        <w:t xml:space="preserve">Selection optimism, uncertainty, and scope.</w:t>
      </w:r>
    </w:p>
    <w:p>
      <w:pPr>
        <w:pStyle w:val="FirstParagraph"/>
      </w:pPr>
      <w:r>
        <w:t xml:space="preserve">Step 10 composites that weight test RMSE can inflate optimism on 26 hold-out points; we emphasise Table </w:t>
      </w:r>
      <w:hyperlink w:anchor="tab:holdout-all">
        <w:r>
          <w:rPr>
            <w:rStyle w:val="Hyperlink"/>
          </w:rPr>
          <w:t xml:space="preserve">3</w:t>
        </w:r>
      </w:hyperlink>
      <w:r>
        <w:t xml:space="preserve"> </w:t>
      </w:r>
      <w:r>
        <w:t xml:space="preserve">(Appendix) alongside</w:t>
      </w:r>
      <w:r>
        <w:t xml:space="preserve"> </w:t>
      </w:r>
      <w:r>
        <w:rPr>
          <w:rStyle w:val="VerbatimChar"/>
        </w:rPr>
        <w:t xml:space="preserve">composite_pre_test</w:t>
      </w:r>
      <w:r>
        <w:t xml:space="preserve"> </w:t>
      </w:r>
      <w:r>
        <w:t xml:space="preserve">SHAP.</w:t>
      </w:r>
      <w:r>
        <w:t xml:space="preserve"> </w:t>
      </w:r>
      <w:r>
        <w:t xml:space="preserve">Symmetric residual-quantile intervals reuse</w:t>
      </w:r>
      <w:r>
        <w:t xml:space="preserve"> </w:t>
      </w:r>
      <m:oMath>
        <m:sSub>
          <m:e>
            <m:r>
              <m:rPr>
                <m:scr m:val="script"/>
                <m:sty m:val="p"/>
              </m:rPr>
              <m:t>D</m:t>
            </m:r>
          </m:e>
          <m:sub>
            <m:r>
              <m:rPr>
                <m:sty m:val="p"/>
              </m:rPr>
              <m:t>t</m:t>
            </m:r>
            <m:r>
              <m:rPr>
                <m:sty m:val="p"/>
              </m:rPr>
              <m:t>e</m:t>
            </m:r>
          </m:sub>
        </m:sSub>
      </m:oMath>
      <w:r>
        <w:t xml:space="preserve"> </w:t>
      </w:r>
      <w:r>
        <w:t xml:space="preserve">labels and achieve</w:t>
      </w:r>
      <w:r>
        <w:t xml:space="preserve"> </w:t>
      </w:r>
      <m:oMath>
        <m:r>
          <m:rPr>
            <m:sty m:val="p"/>
          </m:rPr>
          <m:t>∼</m:t>
        </m:r>
        <m:r>
          <m:t>88.5</m:t>
        </m:r>
        <m:r>
          <m:rPr>
            <m:sty m:val="p"/>
          </m:rPr>
          <m:t>%</m:t>
        </m:r>
      </m:oMath>
      <w:r>
        <w:t xml:space="preserve"> </w:t>
      </w:r>
      <w:r>
        <w:t xml:space="preserve">empirical coverage; they should be upgraded to nested or split conformal calibration before production risk statements</w:t>
      </w:r>
      <w:r>
        <w:t xml:space="preserve"> </w:t>
      </w:r>
      <w:r>
        <w:t xml:space="preserve">(Angelopoulos and Bates 2023; Romano et al. 2019)</w:t>
      </w:r>
      <w:r>
        <w:t xml:space="preserve">.</w:t>
      </w:r>
      <w:r>
        <w:t xml:space="preserve"> </w:t>
      </w:r>
      <w:r>
        <w:t xml:space="preserve">SHAP remains associational and must not be read as causal policy effects</w:t>
      </w:r>
      <w:r>
        <w:t xml:space="preserve"> </w:t>
      </w:r>
      <w:r>
        <w:t xml:space="preserve">(Lundberg and Lee 2017;</w:t>
      </w:r>
      <w:r>
        <w:t xml:space="preserve"> </w:t>
      </w:r>
      <w:r>
        <w:t xml:space="preserve">Salih et al.</w:t>
      </w:r>
      <w:r>
        <w:t xml:space="preserve"> </w:t>
      </w:r>
      <w:r>
        <w:t xml:space="preserve">2023)</w:t>
      </w:r>
      <w:r>
        <w:t xml:space="preserve">.</w:t>
      </w:r>
      <w:r>
        <w:t xml:space="preserve"> </w:t>
      </w:r>
      <w:r>
        <w:t xml:space="preserve">Live port data, input–output uncertainty propagation, and fully grounded LLM personas are deferred; the reproducible core is Appendix </w:t>
      </w:r>
      <w:hyperlink w:anchor="app:repro">
        <w:r>
          <w:rPr>
            <w:rStyle w:val="Hyperlink"/>
          </w:rPr>
          <w:t xml:space="preserve">11</w:t>
        </w:r>
      </w:hyperlink>
      <w:r>
        <w:t xml:space="preserve">.</w:t>
      </w:r>
    </w:p>
    <w:bookmarkEnd w:id="51"/>
    <w:bookmarkEnd w:id="52"/>
    <w:bookmarkStart w:id="53" w:name="sec:conclusion"/>
    <w:p>
      <w:pPr>
        <w:pStyle w:val="Heading1"/>
      </w:pPr>
      <w:r>
        <w:t xml:space="preserve">Conclusion</w:t>
      </w:r>
    </w:p>
    <w:p>
      <w:pPr>
        <w:pStyle w:val="FirstParagraph"/>
      </w:pPr>
      <w:r>
        <w:t xml:space="preserve">We presented a reproducible multi-output surrogate pipeline and Decision Intelligence UI for post-Brexit RoRo logistics.</w:t>
      </w:r>
      <w:r>
        <w:t xml:space="preserve"> </w:t>
      </w:r>
      <w:r>
        <w:t xml:space="preserve">The system meets mentor expectations for real-time scenario support, reduced UI complexity, hold-out-validated regression error on 19/20 KPIs (RMSE vs. baselines), and explainable, uncertainty-aware outputs—replacing batch AnyLogic reruns with millisecond inference while keeping practitioners in the loop.</w:t>
      </w:r>
      <w:r>
        <w:t xml:space="preserve"> </w:t>
      </w:r>
      <w:r>
        <w:t xml:space="preserve">Future work includes expanding the NOLHC design (especially extreme parameter regions)</w:t>
      </w:r>
      <w:r>
        <w:t xml:space="preserve"> </w:t>
      </w:r>
      <w:r>
        <w:t xml:space="preserve">(Viana 2016)</w:t>
      </w:r>
      <w:r>
        <w:t xml:space="preserve">, nested selection without test leakage, formal conformal calibration splits</w:t>
      </w:r>
      <w:r>
        <w:t xml:space="preserve"> </w:t>
      </w:r>
      <w:r>
        <w:t xml:space="preserve">(Angelopoulos and Bates 2023)</w:t>
      </w:r>
      <w:r>
        <w:t xml:space="preserve">, live port data integration, and multi-turn scenario comparison in the attribution layer</w:t>
      </w:r>
      <w:r>
        <w:t xml:space="preserve"> </w:t>
      </w:r>
      <w:r>
        <w:t xml:space="preserve">(Monarch 2021;</w:t>
      </w:r>
      <w:r>
        <w:t xml:space="preserve"> </w:t>
      </w:r>
      <w:r>
        <w:t xml:space="preserve">Laato et al.</w:t>
      </w:r>
      <w:r>
        <w:t xml:space="preserve"> </w:t>
      </w:r>
      <w:r>
        <w:t xml:space="preserve">2022)</w:t>
      </w:r>
      <w:r>
        <w:t xml:space="preserve">.</w:t>
      </w:r>
    </w:p>
    <w:bookmarkEnd w:id="53"/>
    <w:bookmarkStart w:id="54" w:name="acknowledgements"/>
    <w:p>
      <w:pPr>
        <w:pStyle w:val="Heading1"/>
      </w:pPr>
      <w:r>
        <w:t xml:space="preserve">Acknowledgements</w:t>
      </w:r>
    </w:p>
    <w:p>
      <w:pPr>
        <w:pStyle w:val="FirstParagraph"/>
      </w:pPr>
      <w:r>
        <w:t xml:space="preserve">We thank project supervisors and mentors for feedback on experimental pipeline diagnostics, pre-conformal governance, and UI parameter policy.</w:t>
      </w:r>
    </w:p>
    <w:bookmarkEnd w:id="54"/>
    <w:bookmarkStart w:id="78" w:name="app:supp"/>
    <w:p>
      <w:pPr>
        <w:pStyle w:val="Heading1"/>
      </w:pPr>
      <w:r>
        <w:t xml:space="preserve">Supplementary tables and figures</w:t>
      </w:r>
    </w:p>
    <w:p>
      <w:pPr>
        <w:pStyle w:val="FirstParagraph"/>
      </w:pPr>
      <w:r>
        <w:t xml:space="preserve">Tables and figures referenced in §</w:t>
      </w:r>
      <w:hyperlink w:anchor="sec:experiments">
        <w:r>
          <w:rPr>
            <w:rStyle w:val="Hyperlink"/>
          </w:rPr>
          <w:t xml:space="preserve">6</w:t>
        </w:r>
      </w:hyperlink>
      <w:r>
        <w:t xml:space="preserve">–</w:t>
      </w:r>
      <w:hyperlink w:anchor="sec:discussion">
        <w:r>
          <w:rPr>
            <w:rStyle w:val="Hyperlink"/>
          </w:rPr>
          <w:t xml:space="preserve">8</w:t>
        </w:r>
      </w:hyperlink>
      <w:r>
        <w:t xml:space="preserve">.</w:t>
      </w:r>
    </w:p>
    <w:bookmarkStart w:id="57" w:name="app:workflow"/>
    <w:p>
      <w:pPr>
        <w:pStyle w:val="Heading2"/>
      </w:pPr>
      <w:r>
        <w:t xml:space="preserve">Learning workflow figure and CV algorithm</w:t>
      </w:r>
    </w:p>
    <w:p>
      <w:pPr>
        <w:pStyle w:val="FirstParagraph"/>
      </w:pPr>
      <w:bookmarkStart w:id="55" w:name="sec:pipeline"/>
      <w:bookmarkEnd w:id="55"/>
    </w:p>
    <w:p>
      <w:pPr>
        <w:pStyle w:val="BodyText"/>
      </w:pPr>
      <w:r>
        <w:t xml:space="preserve">Figure </w:t>
      </w:r>
      <w:hyperlink w:anchor="fig:pipeline">
        <w:r>
          <w:rPr>
            <w:rStyle w:val="Hyperlink"/>
          </w:rPr>
          <w:t xml:space="preserve">1</w:t>
        </w:r>
      </w:hyperlink>
      <w:r>
        <w:t xml:space="preserve"> </w:t>
      </w:r>
      <w:r>
        <w:t xml:space="preserve">summarises the end-to-end learning protocol for</w:t>
      </w:r>
      <w:r>
        <w:t xml:space="preserve"> </w:t>
      </w:r>
      <w:r>
        <w:rPr>
          <w:i/>
          <w:iCs/>
        </w:rPr>
        <w:t xml:space="preserve">multi-output regression</w:t>
      </w:r>
      <w:r>
        <w:t xml:space="preserve">; subsections below specify learners, comparison tests, explainability, and deployment.</w:t>
      </w:r>
      <w:r>
        <w:t xml:space="preserve"> </w:t>
      </w:r>
      <w:r>
        <w:t xml:space="preserve">All targets are continuous KPIs scored with RMSE, MAE, and</w:t>
      </w:r>
      <w:r>
        <w:t xml:space="preserve"> </w:t>
      </w:r>
      <m:oMath>
        <m:sSup>
          <m:e>
            <m:r>
              <m:t>R</m:t>
            </m:r>
          </m:e>
          <m:sup>
            <m:r>
              <m:t>2</m:t>
            </m:r>
          </m:sup>
        </m:sSup>
      </m:oMath>
      <w:r>
        <w:t xml:space="preserve"> </w:t>
      </w:r>
      <w:r>
        <w:t xml:space="preserve">(no classification metrics).</w:t>
      </w:r>
    </w:p>
    <w:bookmarkStart w:id="56" w:name="fig:pipeline"/>
    <w:tbl>
      <w:tblPr>
        <w:tblStyle w:val="FigureTable"/>
        <w:tblW w:type="auto" w:w="0"/>
        <w:jc w:val="center"/>
        <w:tblLook w:firstRow="0" w:lastRow="0" w:firstColumn="0" w:lastColumn="0"/>
      </w:tblPr>
      <w:tblGrid/>
    </w:tbl>
    <w:p>
      <w:pPr>
        <w:pStyle w:val="ImageCaption"/>
      </w:pPr>
      <w:r>
        <w:t xml:space="preserve">Five-stage learning and deployment protocol for multi-output surrogate regression. Hold-out indices</w:t>
      </w:r>
      <w:r>
        <w:t xml:space="preserve"> </w:t>
      </w:r>
      <m:oMath>
        <m:sSub>
          <m:e>
            <m:r>
              <m:rPr>
                <m:scr m:val="script"/>
                <m:sty m:val="p"/>
              </m:rPr>
              <m:t>D</m:t>
            </m:r>
          </m:e>
          <m:sub>
            <m:r>
              <m:rPr>
                <m:sty m:val="p"/>
              </m:rPr>
              <m:t>t</m:t>
            </m:r>
            <m:r>
              <m:rPr>
                <m:sty m:val="p"/>
              </m:rPr>
              <m:t>e</m:t>
            </m:r>
          </m:sub>
        </m:sSub>
      </m:oMath>
      <w:r>
        <w:t xml:space="preserve"> </w:t>
      </w:r>
      <w:r>
        <w:t xml:space="preserve">are excluded from cross-validation, tuning, and model choice until final sign-off; step 5 serves the Decision Intelligence UI.</w:t>
      </w:r>
    </w:p>
    <w:bookmarkEnd w:id="56"/>
    <w:p>
      <w:pPr>
        <w:pStyle w:val="BodyText"/>
      </w:pPr>
      <m:oMath>
        <m:r>
          <m:rPr>
            <m:sty m:val="p"/>
          </m:rPr>
          <m:t>{</m:t>
        </m:r>
        <m:r>
          <m:rPr>
            <m:sty m:val="p"/>
          </m:rPr>
          <m:t>(</m:t>
        </m:r>
        <m:sSub>
          <m:e>
            <m:r>
              <m:rPr>
                <m:sty m:val="bi"/>
              </m:rPr>
              <m:t>x</m:t>
            </m:r>
          </m:e>
          <m:sub>
            <m:r>
              <m:t>i</m:t>
            </m:r>
          </m:sub>
        </m:sSub>
        <m:r>
          <m:rPr>
            <m:sty m:val="p"/>
          </m:rPr>
          <m:t>,</m:t>
        </m:r>
        <m:sSub>
          <m:e>
            <m:r>
              <m:t>y</m:t>
            </m:r>
          </m:e>
          <m:sub>
            <m:r>
              <m:t>i</m:t>
            </m:r>
            <m:r>
              <m:rPr>
                <m:sty m:val="p"/>
              </m:rPr>
              <m:t>,</m:t>
            </m:r>
            <m:r>
              <m:t>k</m:t>
            </m:r>
          </m:sub>
        </m:sSub>
        <m:r>
          <m:rPr>
            <m:sty m:val="p"/>
          </m:rPr>
          <m:t>)</m:t>
        </m:r>
        <m:sSub>
          <m:e>
            <m:r>
              <m:rPr>
                <m:sty m:val="p"/>
              </m:rPr>
              <m:t>}</m:t>
            </m:r>
          </m:e>
          <m:sub>
            <m:r>
              <m:t>i</m:t>
            </m:r>
            <m:r>
              <m:rPr>
                <m:sty m:val="p"/>
              </m:rPr>
              <m:t>∈</m:t>
            </m:r>
            <m:sSub>
              <m:e>
                <m:r>
                  <m:rPr>
                    <m:scr m:val="script"/>
                    <m:sty m:val="p"/>
                  </m:rPr>
                  <m:t>D</m:t>
                </m:r>
              </m:e>
              <m:sub>
                <m:r>
                  <m:rPr>
                    <m:sty m:val="p"/>
                  </m:rPr>
                  <m:t>t</m:t>
                </m:r>
                <m:r>
                  <m:rPr>
                    <m:sty m:val="p"/>
                  </m:rPr>
                  <m:t>r</m:t>
                </m:r>
              </m:sub>
            </m:sSub>
          </m:sub>
        </m:sSub>
      </m:oMath>
      <w:r>
        <w:t xml:space="preserve">, model zoo</w:t>
      </w:r>
      <w:r>
        <w:t xml:space="preserve"> </w:t>
      </w:r>
      <m:oMath>
        <m:r>
          <m:rPr>
            <m:scr m:val="script"/>
            <m:sty m:val="p"/>
          </m:rPr>
          <m:t>M</m:t>
        </m:r>
      </m:oMath>
      <w:r>
        <w:t xml:space="preserve"> </w:t>
      </w:r>
      <w:r>
        <w:t xml:space="preserve">(</w:t>
      </w:r>
      <m:oMath>
        <m:r>
          <m:rPr>
            <m:sty m:val="p"/>
          </m:rPr>
          <m:t>|</m:t>
        </m:r>
        <m:r>
          <m:rPr>
            <m:scr m:val="script"/>
            <m:sty m:val="p"/>
          </m:rPr>
          <m:t>M</m:t>
        </m:r>
        <m:r>
          <m:rPr>
            <m:sty m:val="p"/>
          </m:rPr>
          <m:t>|</m:t>
        </m:r>
        <m:r>
          <m:rPr>
            <m:sty m:val="p"/>
          </m:rPr>
          <m:t>=</m:t>
        </m:r>
        <m:r>
          <m:t>19</m:t>
        </m:r>
      </m:oMath>
      <w:r>
        <w:t xml:space="preserve">), grids</w:t>
      </w:r>
      <w:r>
        <w:t xml:space="preserve"> </w:t>
      </w:r>
      <m:oMath>
        <m:r>
          <m:rPr>
            <m:sty m:val="p"/>
          </m:rPr>
          <m:t>{</m:t>
        </m:r>
        <m:sSub>
          <m:e>
            <m:r>
              <m:rPr>
                <m:scr m:val="script"/>
                <m:sty m:val="p"/>
              </m:rPr>
              <m:t>G</m:t>
            </m:r>
          </m:e>
          <m:sub>
            <m:r>
              <m:t>m</m:t>
            </m:r>
          </m:sub>
        </m:sSub>
        <m:r>
          <m:rPr>
            <m:sty m:val="p"/>
          </m:rPr>
          <m:t>}</m:t>
        </m:r>
      </m:oMath>
      <w:r>
        <w:t xml:space="preserve"> </w:t>
      </w:r>
      <w:r>
        <w:t xml:space="preserve">Best</w:t>
      </w:r>
      <w:r>
        <w:t xml:space="preserve"> </w:t>
      </w:r>
      <m:oMath>
        <m:r>
          <m:rPr>
            <m:sty m:val="p"/>
          </m:rPr>
          <m:t>(</m:t>
        </m:r>
        <m:sSup>
          <m:e>
            <m:r>
              <m:t>m</m:t>
            </m:r>
          </m:e>
          <m:sup>
            <m:r>
              <m:rPr>
                <m:sty m:val="p"/>
              </m:rPr>
              <m:t>⋆</m:t>
            </m:r>
          </m:sup>
        </m:sSup>
        <m:r>
          <m:rPr>
            <m:sty m:val="p"/>
          </m:rPr>
          <m:t>,</m:t>
        </m:r>
        <m:sSup>
          <m:e>
            <m:r>
              <m:t>θ</m:t>
            </m:r>
          </m:e>
          <m:sup>
            <m:r>
              <m:rPr>
                <m:sty m:val="p"/>
              </m:rPr>
              <m:t>⋆</m:t>
            </m:r>
          </m:sup>
        </m:sSup>
        <m:r>
          <m:rPr>
            <m:sty m:val="p"/>
          </m:rPr>
          <m:t>)</m:t>
        </m:r>
      </m:oMath>
      <w:r>
        <w:t xml:space="preserve"> </w:t>
      </w:r>
      <w:r>
        <w:t xml:space="preserve">minimising mean CV RMSE (tie: lower std)</w:t>
      </w:r>
      <w:r>
        <w:t xml:space="preserve"> </w:t>
      </w:r>
      <w:r>
        <w:t xml:space="preserve">Fit scaler</w:t>
      </w:r>
      <w:r>
        <w:t xml:space="preserve"> </w:t>
      </w:r>
      <m:oMath>
        <m:r>
          <m:t>s</m:t>
        </m:r>
      </m:oMath>
      <w:r>
        <w:t xml:space="preserve"> </w:t>
      </w:r>
      <w:r>
        <w:t xml:space="preserve">on</w:t>
      </w:r>
      <w:r>
        <w:t xml:space="preserve"> </w:t>
      </w:r>
      <m:oMath>
        <m:sSub>
          <m:e>
            <m:r>
              <m:rPr>
                <m:sty m:val="bi"/>
              </m:rPr>
              <m:t>X</m:t>
            </m:r>
          </m:e>
          <m:sub>
            <m:r>
              <m:rPr>
                <m:sty m:val="p"/>
              </m:rPr>
              <m:t>t</m:t>
            </m:r>
            <m:r>
              <m:rPr>
                <m:sty m:val="p"/>
              </m:rPr>
              <m:t>r</m:t>
            </m:r>
          </m:sub>
        </m:sSub>
      </m:oMath>
      <w:r>
        <w:t xml:space="preserve"> </w:t>
      </w:r>
      <w:r>
        <w:t xml:space="preserve">Fit</w:t>
      </w:r>
      <w:r>
        <w:t xml:space="preserve"> </w:t>
      </w:r>
      <m:oMath>
        <m:sSub>
          <m:e>
            <m:r>
              <m:t>m</m:t>
            </m:r>
          </m:e>
          <m:sub>
            <m:r>
              <m:t>θ</m:t>
            </m:r>
          </m:sub>
        </m:sSub>
      </m:oMath>
      <w:r>
        <w:t xml:space="preserve"> </w:t>
      </w:r>
      <w:r>
        <w:t xml:space="preserve">on</w:t>
      </w:r>
      <w:r>
        <w:t xml:space="preserve"> </w:t>
      </w:r>
      <m:oMath>
        <m:sSub>
          <m:e>
            <m:r>
              <m:rPr>
                <m:scr m:val="script"/>
                <m:sty m:val="p"/>
              </m:rPr>
              <m:t>D</m:t>
            </m:r>
          </m:e>
          <m:sub>
            <m:r>
              <m:rPr>
                <m:sty m:val="p"/>
              </m:rPr>
              <m:t>t</m:t>
            </m:r>
            <m:r>
              <m:rPr>
                <m:sty m:val="p"/>
              </m:rPr>
              <m:t>r</m:t>
            </m:r>
          </m:sub>
        </m:sSub>
        <m:r>
          <m:rPr>
            <m:sty m:val="p"/>
          </m:rPr>
          <m:t>\</m:t>
        </m:r>
        <m:sSub>
          <m:e>
            <m:r>
              <m:t>F</m:t>
            </m:r>
          </m:e>
          <m:sub>
            <m:r>
              <m:t>f</m:t>
            </m:r>
          </m:sub>
        </m:sSub>
      </m:oMath>
      <w:r>
        <w:t xml:space="preserve">; record validation</w:t>
      </w:r>
      <w:r>
        <w:t xml:space="preserve"> </w:t>
      </w:r>
      <m:oMath>
        <m:sSub>
          <m:e>
            <m:r>
              <m:rPr>
                <m:sty m:val="p"/>
              </m:rPr>
              <m:t>R</m:t>
            </m:r>
            <m:r>
              <m:rPr>
                <m:sty m:val="p"/>
              </m:rPr>
              <m:t>M</m:t>
            </m:r>
            <m:r>
              <m:rPr>
                <m:sty m:val="p"/>
              </m:rPr>
              <m:t>S</m:t>
            </m:r>
            <m:r>
              <m:rPr>
                <m:sty m:val="p"/>
              </m:rPr>
              <m:t>E</m:t>
            </m:r>
          </m:e>
          <m:sub>
            <m:r>
              <m:t>f</m:t>
            </m:r>
            <m:r>
              <m:rPr>
                <m:sty m:val="p"/>
              </m:rPr>
              <m:t>,</m:t>
            </m:r>
            <m:r>
              <m:t>r</m:t>
            </m:r>
          </m:sub>
        </m:sSub>
      </m:oMath>
      <w:r>
        <w:t xml:space="preserve"> </w:t>
      </w:r>
      <m:oMath>
        <m:sSub>
          <m:e>
            <m:bar>
              <m:barPr>
                <m:pos m:val="top"/>
              </m:barPr>
              <m:e>
                <m:r>
                  <m:rPr>
                    <m:sty m:val="p"/>
                  </m:rPr>
                  <m:t>R</m:t>
                </m:r>
                <m:r>
                  <m:rPr>
                    <m:sty m:val="p"/>
                  </m:rPr>
                  <m:t>M</m:t>
                </m:r>
                <m:r>
                  <m:rPr>
                    <m:sty m:val="p"/>
                  </m:rPr>
                  <m:t>S</m:t>
                </m:r>
                <m:r>
                  <m:rPr>
                    <m:sty m:val="p"/>
                  </m:rPr>
                  <m:t>E</m:t>
                </m:r>
              </m:e>
            </m:bar>
          </m:e>
          <m:sub>
            <m:r>
              <m:t>m</m:t>
            </m:r>
            <m:r>
              <m:rPr>
                <m:sty m:val="p"/>
              </m:rPr>
              <m:t>,</m:t>
            </m:r>
            <m:r>
              <m:t>θ</m:t>
            </m:r>
          </m:sub>
        </m:sSub>
        <m:r>
          <m:rPr>
            <m:sty m:val="p"/>
          </m:rPr>
          <m:t>←</m:t>
        </m:r>
        <m:sSub>
          <m:e>
            <m:r>
              <m:rPr>
                <m:sty m:val="p"/>
              </m:rPr>
              <m:t>m</m:t>
            </m:r>
            <m:r>
              <m:rPr>
                <m:sty m:val="p"/>
              </m:rPr>
              <m:t>e</m:t>
            </m:r>
            <m:r>
              <m:rPr>
                <m:sty m:val="p"/>
              </m:rPr>
              <m:t>a</m:t>
            </m:r>
            <m:r>
              <m:rPr>
                <m:sty m:val="p"/>
              </m:rPr>
              <m:t>n</m:t>
            </m:r>
          </m:e>
          <m:sub>
            <m:r>
              <m:t>f</m:t>
            </m:r>
            <m:r>
              <m:rPr>
                <m:sty m:val="p"/>
              </m:rPr>
              <m:t>,</m:t>
            </m:r>
            <m:r>
              <m:t>r</m:t>
            </m:r>
          </m:sub>
        </m:sSub>
        <m:r>
          <m:rPr>
            <m:sty m:val="p"/>
          </m:rPr>
          <m:t>(</m:t>
        </m:r>
        <m:r>
          <m:rPr>
            <m:sty m:val="p"/>
          </m:rPr>
          <m:t>R</m:t>
        </m:r>
        <m:r>
          <m:rPr>
            <m:sty m:val="p"/>
          </m:rPr>
          <m:t>M</m:t>
        </m:r>
        <m:r>
          <m:rPr>
            <m:sty m:val="p"/>
          </m:rPr>
          <m:t>S</m:t>
        </m:r>
        <m:r>
          <m:rPr>
            <m:sty m:val="p"/>
          </m:rPr>
          <m:t>E</m:t>
        </m:r>
        <m:r>
          <m:rPr>
            <m:sty m:val="p"/>
          </m:rPr>
          <m:t>)</m:t>
        </m:r>
      </m:oMath>
      <w:r>
        <w:t xml:space="preserve">;</w:t>
      </w:r>
      <w:r>
        <w:t xml:space="preserve"> </w:t>
      </w:r>
      <m:oMath>
        <m:sSub>
          <m:e>
            <m:r>
              <m:t>σ</m:t>
            </m:r>
          </m:e>
          <m:sub>
            <m:r>
              <m:t>m</m:t>
            </m:r>
            <m:r>
              <m:rPr>
                <m:sty m:val="p"/>
              </m:rPr>
              <m:t>,</m:t>
            </m:r>
            <m:r>
              <m:t>θ</m:t>
            </m:r>
          </m:sub>
        </m:sSub>
        <m:r>
          <m:rPr>
            <m:sty m:val="p"/>
          </m:rPr>
          <m:t>←</m:t>
        </m:r>
        <m:sSub>
          <m:e>
            <m:r>
              <m:rPr>
                <m:sty m:val="p"/>
              </m:rPr>
              <m:t>s</m:t>
            </m:r>
            <m:r>
              <m:rPr>
                <m:sty m:val="p"/>
              </m:rPr>
              <m:t>t</m:t>
            </m:r>
            <m:r>
              <m:rPr>
                <m:sty m:val="p"/>
              </m:rPr>
              <m:t>d</m:t>
            </m:r>
          </m:e>
          <m:sub>
            <m:r>
              <m:t>f</m:t>
            </m:r>
            <m:r>
              <m:rPr>
                <m:sty m:val="p"/>
              </m:rPr>
              <m:t>,</m:t>
            </m:r>
            <m:r>
              <m:t>r</m:t>
            </m:r>
          </m:sub>
        </m:sSub>
      </m:oMath>
      <w:r>
        <w:t xml:space="preserve"> </w:t>
      </w:r>
      <m:oMath>
        <m:r>
          <m:rPr>
            <m:sty m:val="p"/>
          </m:rPr>
          <m:t>(</m:t>
        </m:r>
        <m:sSubSup>
          <m:e>
            <m:r>
              <m:t>m</m:t>
            </m:r>
          </m:e>
          <m:sub>
            <m:r>
              <m:t>k</m:t>
            </m:r>
          </m:sub>
          <m:sup>
            <m:r>
              <m:rPr>
                <m:sty m:val="p"/>
              </m:rPr>
              <m:t>⋆</m:t>
            </m:r>
          </m:sup>
        </m:sSubSup>
        <m:r>
          <m:rPr>
            <m:sty m:val="p"/>
          </m:rPr>
          <m:t>,</m:t>
        </m:r>
        <m:sSubSup>
          <m:e>
            <m:r>
              <m:t>θ</m:t>
            </m:r>
          </m:e>
          <m:sub>
            <m:r>
              <m:t>k</m:t>
            </m:r>
          </m:sub>
          <m:sup>
            <m:r>
              <m:rPr>
                <m:sty m:val="p"/>
              </m:rPr>
              <m:t>⋆</m:t>
            </m:r>
          </m:sup>
        </m:sSubSup>
        <m:r>
          <m:rPr>
            <m:sty m:val="p"/>
          </m:rPr>
          <m:t>)</m:t>
        </m:r>
        <m:r>
          <m:rPr>
            <m:sty m:val="p"/>
          </m:rPr>
          <m:t>←</m:t>
        </m:r>
        <m:r>
          <m:rPr>
            <m:sty m:val="p"/>
          </m:rPr>
          <m:t>arg</m:t>
        </m:r>
        <m:sSub>
          <m:e>
            <m:r>
              <m:rPr>
                <m:sty m:val="p"/>
              </m:rPr>
              <m:t>min</m:t>
            </m:r>
          </m:e>
          <m:sub>
            <m:r>
              <m:t>m</m:t>
            </m:r>
            <m:r>
              <m:rPr>
                <m:sty m:val="p"/>
              </m:rPr>
              <m:t>,</m:t>
            </m:r>
            <m:r>
              <m:t>θ</m:t>
            </m:r>
          </m:sub>
        </m:sSub>
        <m:sSub>
          <m:e>
            <m:bar>
              <m:barPr>
                <m:pos m:val="top"/>
              </m:barPr>
              <m:e>
                <m:r>
                  <m:rPr>
                    <m:sty m:val="p"/>
                  </m:rPr>
                  <m:t>R</m:t>
                </m:r>
                <m:r>
                  <m:rPr>
                    <m:sty m:val="p"/>
                  </m:rPr>
                  <m:t>M</m:t>
                </m:r>
                <m:r>
                  <m:rPr>
                    <m:sty m:val="p"/>
                  </m:rPr>
                  <m:t>S</m:t>
                </m:r>
                <m:r>
                  <m:rPr>
                    <m:sty m:val="p"/>
                  </m:rPr>
                  <m:t>E</m:t>
                </m:r>
              </m:e>
            </m:bar>
          </m:e>
          <m:sub>
            <m:r>
              <m:t>m</m:t>
            </m:r>
            <m:r>
              <m:rPr>
                <m:sty m:val="p"/>
              </m:rPr>
              <m:t>,</m:t>
            </m:r>
            <m:r>
              <m:t>θ</m:t>
            </m:r>
          </m:sub>
        </m:sSub>
      </m:oMath>
      <w:r>
        <w:t xml:space="preserve"> </w:t>
      </w:r>
      <w:r>
        <w:t xml:space="preserve">with</w:t>
      </w:r>
      <w:r>
        <w:t xml:space="preserve"> </w:t>
      </w:r>
      <m:oMath>
        <m:r>
          <m:t>σ</m:t>
        </m:r>
      </m:oMath>
      <w:r>
        <w:t xml:space="preserve"> </w:t>
      </w:r>
      <w:r>
        <w:t xml:space="preserve">tie-break</w:t>
      </w:r>
      <w:r>
        <w:t xml:space="preserve"> </w:t>
      </w:r>
      <w:r>
        <w:t xml:space="preserve">fold RMSE vectors for paired</w:t>
      </w:r>
      <w:r>
        <w:t xml:space="preserve"> </w:t>
      </w:r>
      <m:oMath>
        <m:r>
          <m:t>t</m:t>
        </m:r>
      </m:oMath>
      <w:r>
        <w:t xml:space="preserve">-tests vs. other models</w:t>
      </w:r>
    </w:p>
    <w:bookmarkEnd w:id="57"/>
    <w:bookmarkStart w:id="60" w:name="experimental-design-and-scenarios"/>
    <w:p>
      <w:pPr>
        <w:pStyle w:val="Heading2"/>
      </w:pPr>
      <w:r>
        <w:t xml:space="preserve">Experimental design and scenarios</w:t>
      </w:r>
    </w:p>
    <w:p>
      <w:pPr>
        <w:pStyle w:val="FirstParagraph"/>
      </w:pPr>
      <w:r>
        <w:t xml:space="preserve">Table </w:t>
      </w:r>
      <w:hyperlink w:anchor="tab:data">
        <w:r>
          <w:rPr>
            <w:rStyle w:val="Hyperlink"/>
          </w:rPr>
          <w:t xml:space="preserve">1</w:t>
        </w:r>
      </w:hyperlink>
      <w:r>
        <w:t xml:space="preserve"> </w:t>
      </w:r>
      <w:r>
        <w:t xml:space="preserve">summarises the NOLHC budget and split protocol.</w:t>
      </w:r>
    </w:p>
    <w:bookmarkStart w:id="58" w:name="tab:data"/>
    <w:p>
      <w:pPr>
        <w:pStyle w:val="TableCaption"/>
      </w:pPr>
      <w:r>
        <w:t xml:space="preserve">NOLHC experimental design summary.</w:t>
      </w:r>
    </w:p>
    <w:tbl>
      <w:tblPr>
        <w:tblStyle w:val="Table"/>
        <w:tblW w:type="auto" w:w="0"/>
        <w:tblLook w:firstRow="1" w:lastRow="0" w:firstColumn="0" w:lastColumn="0" w:noHBand="0" w:noVBand="0" w:val="0020"/>
        <w:tblCaption w:val="NOLHC experimental design summary."/>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Design runs</w:t>
            </w:r>
          </w:p>
        </w:tc>
        <w:tc>
          <w:tcPr/>
          <w:p>
            <w:pPr>
              <w:pStyle w:val="Compact"/>
              <w:jc w:val="left"/>
            </w:pPr>
            <w:r>
              <w:t xml:space="preserve">129</w:t>
            </w:r>
          </w:p>
        </w:tc>
      </w:tr>
      <w:tr>
        <w:tc>
          <w:tcPr/>
          <w:p>
            <w:pPr>
              <w:pStyle w:val="Compact"/>
              <w:jc w:val="left"/>
            </w:pPr>
            <w:r>
              <w:t xml:space="preserve">Input features</w:t>
            </w:r>
            <w:r>
              <w:t xml:space="preserve"> </w:t>
            </w:r>
            <m:oMath>
              <m:r>
                <m:t>d</m:t>
              </m:r>
            </m:oMath>
          </w:p>
        </w:tc>
        <w:tc>
          <w:tcPr/>
          <w:p>
            <w:pPr>
              <w:pStyle w:val="Compact"/>
              <w:jc w:val="left"/>
            </w:pPr>
            <w:r>
              <w:t xml:space="preserve">35</w:t>
            </w:r>
          </w:p>
        </w:tc>
      </w:tr>
      <w:tr>
        <w:tc>
          <w:tcPr/>
          <w:p>
            <w:pPr>
              <w:pStyle w:val="Compact"/>
              <w:jc w:val="left"/>
            </w:pPr>
            <w:r>
              <w:t xml:space="preserve">Output targets</w:t>
            </w:r>
            <w:r>
              <w:t xml:space="preserve"> </w:t>
            </w:r>
            <m:oMath>
              <m:r>
                <m:t>K</m:t>
              </m:r>
            </m:oMath>
          </w:p>
        </w:tc>
        <w:tc>
          <w:tcPr/>
          <w:p>
            <w:pPr>
              <w:pStyle w:val="Compact"/>
              <w:jc w:val="left"/>
            </w:pPr>
            <w:r>
              <w:t xml:space="preserve">20</w:t>
            </w:r>
          </w:p>
        </w:tc>
      </w:tr>
      <w:tr>
        <w:tc>
          <w:tcPr/>
          <w:p>
            <w:pPr>
              <w:pStyle w:val="Compact"/>
              <w:jc w:val="left"/>
            </w:pPr>
            <w:r>
              <w:t xml:space="preserve">Train pool</w:t>
            </w:r>
            <w:r>
              <w:t xml:space="preserve"> </w:t>
            </w:r>
            <m:oMath>
              <m:r>
                <m:rPr>
                  <m:sty m:val="p"/>
                </m:rPr>
                <m:t>|</m:t>
              </m:r>
              <m:sSub>
                <m:e>
                  <m:r>
                    <m:rPr>
                      <m:scr m:val="script"/>
                      <m:sty m:val="p"/>
                    </m:rPr>
                    <m:t>D</m:t>
                  </m:r>
                </m:e>
                <m:sub>
                  <m:r>
                    <m:rPr>
                      <m:sty m:val="p"/>
                    </m:rPr>
                    <m:t>t</m:t>
                  </m:r>
                  <m:r>
                    <m:rPr>
                      <m:sty m:val="p"/>
                    </m:rPr>
                    <m:t>r</m:t>
                  </m:r>
                </m:sub>
              </m:sSub>
              <m:r>
                <m:rPr>
                  <m:sty m:val="p"/>
                </m:rPr>
                <m:t>|</m:t>
              </m:r>
            </m:oMath>
          </w:p>
        </w:tc>
        <w:tc>
          <w:tcPr/>
          <w:p>
            <w:pPr>
              <w:pStyle w:val="Compact"/>
              <w:jc w:val="left"/>
            </w:pPr>
            <w:r>
              <w:t xml:space="preserve">103 (</w:t>
            </w:r>
            <m:oMath>
              <m:r>
                <m:rPr>
                  <m:sty m:val="p"/>
                </m:rPr>
                <m:t>≈</m:t>
              </m:r>
            </m:oMath>
            <w:r>
              <w:t xml:space="preserve">80%)</w:t>
            </w:r>
          </w:p>
        </w:tc>
      </w:tr>
      <w:tr>
        <w:tc>
          <w:tcPr/>
          <w:p>
            <w:pPr>
              <w:pStyle w:val="Compact"/>
              <w:jc w:val="left"/>
            </w:pPr>
            <w:r>
              <w:t xml:space="preserve">Hold-out</w:t>
            </w:r>
            <w:r>
              <w:t xml:space="preserve"> </w:t>
            </w:r>
            <m:oMath>
              <m:r>
                <m:rPr>
                  <m:sty m:val="p"/>
                </m:rPr>
                <m:t>|</m:t>
              </m:r>
              <m:sSub>
                <m:e>
                  <m:r>
                    <m:rPr>
                      <m:scr m:val="script"/>
                      <m:sty m:val="p"/>
                    </m:rPr>
                    <m:t>D</m:t>
                  </m:r>
                </m:e>
                <m:sub>
                  <m:r>
                    <m:rPr>
                      <m:sty m:val="p"/>
                    </m:rPr>
                    <m:t>t</m:t>
                  </m:r>
                  <m:r>
                    <m:rPr>
                      <m:sty m:val="p"/>
                    </m:rPr>
                    <m:t>e</m:t>
                  </m:r>
                </m:sub>
              </m:sSub>
              <m:r>
                <m:rPr>
                  <m:sty m:val="p"/>
                </m:rPr>
                <m:t>|</m:t>
              </m:r>
            </m:oMath>
          </w:p>
        </w:tc>
        <w:tc>
          <w:tcPr/>
          <w:p>
            <w:pPr>
              <w:pStyle w:val="Compact"/>
              <w:jc w:val="left"/>
            </w:pPr>
            <w:r>
              <w:t xml:space="preserve">26 (</w:t>
            </w:r>
            <m:oMath>
              <m:r>
                <m:rPr>
                  <m:sty m:val="p"/>
                </m:rPr>
                <m:t>≈</m:t>
              </m:r>
            </m:oMath>
            <w:r>
              <w:t xml:space="preserve">20%)</w:t>
            </w:r>
          </w:p>
        </w:tc>
      </w:tr>
      <w:tr>
        <w:tc>
          <w:tcPr/>
          <w:p>
            <w:pPr>
              <w:pStyle w:val="Compact"/>
              <w:jc w:val="left"/>
            </w:pPr>
            <w:r>
              <w:t xml:space="preserve">Model families (core)</w:t>
            </w:r>
          </w:p>
        </w:tc>
        <w:tc>
          <w:tcPr/>
          <w:p>
            <w:pPr>
              <w:pStyle w:val="Compact"/>
              <w:jc w:val="left"/>
            </w:pPr>
            <w:r>
              <w:t xml:space="preserve">19</w:t>
            </w:r>
          </w:p>
        </w:tc>
      </w:tr>
      <w:tr>
        <w:tc>
          <w:tcPr/>
          <w:p>
            <w:pPr>
              <w:pStyle w:val="Compact"/>
              <w:jc w:val="left"/>
            </w:pPr>
            <w:r>
              <w:t xml:space="preserve">CV folds</w:t>
            </w:r>
            <w:r>
              <w:t xml:space="preserve"> </w:t>
            </w:r>
            <m:oMath>
              <m:r>
                <m:rPr>
                  <m:sty m:val="p"/>
                </m:rPr>
                <m:t>×</m:t>
              </m:r>
            </m:oMath>
            <w:r>
              <w:t xml:space="preserve"> </w:t>
            </w:r>
            <w:r>
              <w:t xml:space="preserve">repeats</w:t>
            </w:r>
          </w:p>
        </w:tc>
        <w:tc>
          <w:tcPr/>
          <w:p>
            <w:pPr>
              <w:pStyle w:val="Compact"/>
              <w:jc w:val="left"/>
            </w:pPr>
            <w:r>
              <w:t xml:space="preserve">10</w:t>
            </w:r>
            <w:r>
              <w:t xml:space="preserve"> </w:t>
            </w:r>
            <m:oMath>
              <m:r>
                <m:rPr>
                  <m:sty m:val="p"/>
                </m:rPr>
                <m:t>×</m:t>
              </m:r>
            </m:oMath>
            <w:r>
              <w:t xml:space="preserve"> </w:t>
            </w:r>
            <w:r>
              <w:t xml:space="preserve">3 (</w:t>
            </w:r>
            <m:oMath>
              <m:r>
                <m:rPr>
                  <m:sty m:val="p"/>
                </m:rPr>
                <m:t>=</m:t>
              </m:r>
              <m:r>
                <m:t>30</m:t>
              </m:r>
            </m:oMath>
            <w:r>
              <w:t xml:space="preserve"> </w:t>
            </w:r>
            <w:r>
              <w:t xml:space="preserve">scores per config.)</w:t>
            </w:r>
          </w:p>
        </w:tc>
      </w:tr>
    </w:tbl>
    <w:bookmarkEnd w:id="58"/>
    <w:p>
      <w:pPr>
        <w:pStyle w:val="BodyText"/>
      </w:pPr>
      <w:r>
        <w:t xml:space="preserve">Table </w:t>
      </w:r>
      <w:hyperlink w:anchor="tab:var-groups">
        <w:r>
          <w:rPr>
            <w:rStyle w:val="Hyperlink"/>
          </w:rPr>
          <w:t xml:space="preserve">[tab:var-groups]</w:t>
        </w:r>
      </w:hyperlink>
      <w:r>
        <w:t xml:space="preserve"> </w:t>
      </w:r>
      <w:r>
        <w:t xml:space="preserve">lists input and output variable groups.</w:t>
      </w:r>
    </w:p>
    <w:p>
      <w:pPr>
        <w:pStyle w:val="BodyText"/>
      </w:pPr>
      <w:r>
        <w:t xml:space="preserve">@ p</w:t>
      </w:r>
      <w:r>
        <w:t xml:space="preserve">0.40</w:t>
      </w:r>
      <w:r>
        <w:t xml:space="preserve"> </w:t>
      </w:r>
      <w:r>
        <w:t xml:space="preserve">c p</w:t>
      </w:r>
      <w:r>
        <w:t xml:space="preserve">0.45</w:t>
      </w:r>
      <w:r>
        <w:t xml:space="preserve"> </w:t>
      </w:r>
      <w:r>
        <w:t xml:space="preserve">@</w:t>
      </w:r>
      <w:r>
        <w:br/>
      </w:r>
      <w:r>
        <w:t xml:space="preserve">Group &amp; # &amp; Examples</w:t>
      </w:r>
      <w:r>
        <w:br/>
      </w:r>
      <w:r>
        <w:t xml:space="preserve">Trade volume shifts &amp; 4 &amp; Non-agri/agri import–export totals</w:t>
      </w:r>
      <w:r>
        <w:br/>
      </w:r>
      <w:r>
        <w:t xml:space="preserve">Direct vs. land-bridge routing &amp; 8 &amp; Cherbourg shifts; LB/DR splits</w:t>
      </w:r>
      <w:r>
        <w:br/>
      </w:r>
      <w:r>
        <w:t xml:space="preserve">Land-bridge corridor volumes &amp; 4 &amp; Mode-specific tonne flows</w:t>
      </w:r>
      <w:r>
        <w:br/>
      </w:r>
      <w:r>
        <w:t xml:space="preserve">Vessel capacity (IRE–GB) &amp; 5 &amp; Dublin/Rosslare route capacities</w:t>
      </w:r>
      <w:r>
        <w:br/>
      </w:r>
      <w:r>
        <w:t xml:space="preserve">Customs expertise &amp; resources &amp; 6 &amp; Check times; shed/bay counts</w:t>
      </w:r>
      <w:r>
        <w:br/>
      </w:r>
      <w:r>
        <w:t xml:space="preserve">Border-check interventions &amp; 8 &amp; Green/red/pre-board fractions</w:t>
      </w:r>
      <w:r>
        <w:br/>
      </w:r>
      <w:r>
        <w:br/>
      </w:r>
      <w:r>
        <w:t xml:space="preserve">Agri transit &amp; wait &amp; 6 &amp;</w:t>
      </w:r>
      <w:r>
        <w:t xml:space="preserve"> </w:t>
      </w:r>
      <w:r>
        <w:rPr>
          <w:rStyle w:val="VerbatimChar"/>
        </w:rPr>
        <w:t xml:space="preserve">TT_OB_Agri</w:t>
      </w:r>
      <w:r>
        <w:t xml:space="preserve">,</w:t>
      </w:r>
      <w:r>
        <w:t xml:space="preserve"> </w:t>
      </w:r>
      <w:r>
        <w:rPr>
          <w:rStyle w:val="VerbatimChar"/>
        </w:rPr>
        <w:t xml:space="preserve">WT_IB_A_*</w:t>
      </w:r>
      <w:r>
        <w:br/>
      </w:r>
      <w:r>
        <w:t xml:space="preserve">Non-agri wait &amp; 4 &amp;</w:t>
      </w:r>
      <w:r>
        <w:t xml:space="preserve"> </w:t>
      </w:r>
      <w:r>
        <w:rPr>
          <w:rStyle w:val="VerbatimChar"/>
        </w:rPr>
        <w:t xml:space="preserve">WT_IB_NA_*</w:t>
      </w:r>
      <w:r>
        <w:t xml:space="preserve">,</w:t>
      </w:r>
      <w:r>
        <w:t xml:space="preserve"> </w:t>
      </w:r>
      <w:r>
        <w:rPr>
          <w:rStyle w:val="VerbatimChar"/>
        </w:rPr>
        <w:t xml:space="preserve">WT_OB_NA_*</w:t>
      </w:r>
      <w:r>
        <w:br/>
      </w:r>
      <w:r>
        <w:t xml:space="preserve">Route transit &amp; wait &amp; 6 &amp; Landbridge/direct</w:t>
      </w:r>
      <w:r>
        <w:t xml:space="preserve"> </w:t>
      </w:r>
      <w:r>
        <w:rPr>
          <w:rStyle w:val="VerbatimChar"/>
        </w:rPr>
        <w:t xml:space="preserve">TT_*</w:t>
      </w:r>
      <w:r>
        <w:t xml:space="preserve">,</w:t>
      </w:r>
      <w:r>
        <w:t xml:space="preserve"> </w:t>
      </w:r>
      <w:r>
        <w:rPr>
          <w:rStyle w:val="VerbatimChar"/>
        </w:rPr>
        <w:t xml:space="preserve">WT_*</w:t>
      </w:r>
      <w:r>
        <w:br/>
      </w:r>
      <w:r>
        <w:t xml:space="preserve">Staff utilisation &amp; 4 &amp;</w:t>
      </w:r>
      <w:r>
        <w:t xml:space="preserve"> </w:t>
      </w:r>
      <w:r>
        <w:rPr>
          <w:rStyle w:val="VerbatimChar"/>
        </w:rPr>
        <w:t xml:space="preserve">Uti_Cus_*</w:t>
      </w:r>
      <w:r>
        <w:t xml:space="preserve">,</w:t>
      </w:r>
      <w:r>
        <w:t xml:space="preserve"> </w:t>
      </w:r>
      <w:r>
        <w:rPr>
          <w:rStyle w:val="VerbatimChar"/>
        </w:rPr>
        <w:t xml:space="preserve">Uti_DAFM_*</w:t>
      </w:r>
      <w:r>
        <w:br/>
      </w:r>
    </w:p>
    <w:p>
      <w:pPr>
        <w:pStyle w:val="BodyText"/>
      </w:pPr>
      <w:r>
        <w:t xml:space="preserve">Table </w:t>
      </w:r>
      <w:hyperlink w:anchor="tab:scenarios">
        <w:r>
          <w:rPr>
            <w:rStyle w:val="Hyperlink"/>
          </w:rPr>
          <w:t xml:space="preserve">2</w:t>
        </w:r>
      </w:hyperlink>
      <w:r>
        <w:t xml:space="preserve"> </w:t>
      </w:r>
      <w:r>
        <w:t xml:space="preserve">lists representative UI scenario families.</w:t>
      </w:r>
    </w:p>
    <w:bookmarkStart w:id="59" w:name="tab:scenarios"/>
    <w:p>
      <w:pPr>
        <w:pStyle w:val="TableCaption"/>
      </w:pPr>
      <w:r>
        <w:t xml:space="preserve">Representative scenario families in the UI.</w:t>
      </w:r>
    </w:p>
    <w:tbl>
      <w:tblPr>
        <w:tblStyle w:val="Table"/>
        <w:tblW w:type="pct" w:w="4600"/>
        <w:tblLayout w:type="fixed"/>
        <w:tblLook w:firstRow="1" w:lastRow="0" w:firstColumn="0" w:lastColumn="0" w:noHBand="0" w:noVBand="0" w:val="0020"/>
        <w:tblCaption w:val="Representative scenario families in the UI."/>
      </w:tblPr>
      <w:tblGrid>
        <w:gridCol w:w="3326"/>
        <w:gridCol w:w="3960"/>
      </w:tblGrid>
      <w:tr>
        <w:trPr>
          <w:tblHeader w:val="on"/>
        </w:trPr>
        <w:tc>
          <w:tcPr/>
          <w:p>
            <w:pPr>
              <w:pStyle w:val="Compact"/>
              <w:jc w:val="left"/>
            </w:pPr>
            <w:r>
              <w:t xml:space="preserve">Family</w:t>
            </w:r>
          </w:p>
        </w:tc>
        <w:tc>
          <w:tcPr/>
          <w:p>
            <w:pPr>
              <w:pStyle w:val="Compact"/>
              <w:jc w:val="left"/>
            </w:pPr>
            <w:r>
              <w:t xml:space="preserve">Levels (as-is / moderate / significant)</w:t>
            </w:r>
          </w:p>
        </w:tc>
      </w:tr>
      <w:tr>
        <w:tc>
          <w:tcPr/>
          <w:p>
            <w:pPr>
              <w:pStyle w:val="Compact"/>
              <w:jc w:val="left"/>
            </w:pPr>
            <w:r>
              <w:t xml:space="preserve">Direct route shift</w:t>
            </w:r>
          </w:p>
        </w:tc>
        <w:tc>
          <w:tcPr/>
          <w:p>
            <w:pPr>
              <w:pStyle w:val="Compact"/>
              <w:jc w:val="left"/>
            </w:pPr>
            <w:r>
              <w:t xml:space="preserve">100% landbridge</w:t>
            </w:r>
            <w:r>
              <w:t xml:space="preserve"> </w:t>
            </w:r>
            <m:oMath>
              <m:r>
                <m:rPr>
                  <m:sty m:val="p"/>
                </m:rPr>
                <m:t>→</m:t>
              </m:r>
            </m:oMath>
            <w:r>
              <w:t xml:space="preserve"> </w:t>
            </w:r>
            <m:oMath>
              <m:r>
                <m:rPr>
                  <m:sty m:val="p"/>
                </m:rPr>
                <m:t>∼</m:t>
              </m:r>
            </m:oMath>
            <w:r>
              <w:t xml:space="preserve">40% direct EU</w:t>
            </w:r>
            <w:r>
              <w:t xml:space="preserve"> </w:t>
            </w:r>
            <m:oMath>
              <m:r>
                <m:rPr>
                  <m:sty m:val="p"/>
                </m:rPr>
                <m:t>→</m:t>
              </m:r>
            </m:oMath>
            <w:r>
              <w:t xml:space="preserve"> </w:t>
            </w:r>
            <m:oMath>
              <m:r>
                <m:rPr>
                  <m:sty m:val="p"/>
                </m:rPr>
                <m:t>∼</m:t>
              </m:r>
            </m:oMath>
            <w:r>
              <w:t xml:space="preserve">85% direct EU under non-tariff barriers.</w:t>
            </w:r>
          </w:p>
        </w:tc>
      </w:tr>
      <w:tr>
        <w:tc>
          <w:tcPr/>
          <w:p>
            <w:pPr>
              <w:pStyle w:val="Compact"/>
              <w:jc w:val="left"/>
            </w:pPr>
            <w:r>
              <w:t xml:space="preserve">Non-tariff barriers</w:t>
            </w:r>
          </w:p>
        </w:tc>
        <w:tc>
          <w:tcPr/>
          <w:p>
            <w:pPr>
              <w:pStyle w:val="Compact"/>
              <w:jc w:val="left"/>
            </w:pPr>
            <w:r>
              <w:t xml:space="preserve">Frictionless landbridge</w:t>
            </w:r>
            <w:r>
              <w:t xml:space="preserve"> </w:t>
            </w:r>
            <m:oMath>
              <m:r>
                <m:rPr>
                  <m:sty m:val="p"/>
                </m:rPr>
                <m:t>→</m:t>
              </m:r>
            </m:oMath>
            <w:r>
              <w:t xml:space="preserve"> </w:t>
            </w:r>
            <m:oMath>
              <m:r>
                <m:rPr>
                  <m:sty m:val="p"/>
                </m:rPr>
                <m:t>∼</m:t>
              </m:r>
            </m:oMath>
            <w:r>
              <w:t xml:space="preserve">40% inspection efficiency gain</w:t>
            </w:r>
            <w:r>
              <w:t xml:space="preserve"> </w:t>
            </w:r>
            <m:oMath>
              <m:r>
                <m:rPr>
                  <m:sty m:val="p"/>
                </m:rPr>
                <m:t>→</m:t>
              </m:r>
            </m:oMath>
            <w:r>
              <w:t xml:space="preserve"> </w:t>
            </w:r>
            <m:oMath>
              <m:r>
                <m:rPr>
                  <m:sty m:val="p"/>
                </m:rPr>
                <m:t>∼</m:t>
              </m:r>
            </m:oMath>
            <w:r>
              <w:t xml:space="preserve">80% gain, landbridge retained.</w:t>
            </w:r>
          </w:p>
        </w:tc>
      </w:tr>
    </w:tbl>
    <w:bookmarkEnd w:id="59"/>
    <w:bookmarkEnd w:id="60"/>
    <w:bookmarkStart w:id="74" w:name="Xb3b8ac72c689a3b7e602123071bfcd177e630cd"/>
    <w:p>
      <w:pPr>
        <w:pStyle w:val="Heading2"/>
      </w:pPr>
      <w:r>
        <w:t xml:space="preserve">Hold-out metrics and residual diagnostics</w:t>
      </w:r>
    </w:p>
    <w:p>
      <w:pPr>
        <w:pStyle w:val="FirstParagraph"/>
      </w:pPr>
      <w:r>
        <w:t xml:space="preserve">Table </w:t>
      </w:r>
      <w:hyperlink w:anchor="tab:holdout-all">
        <w:r>
          <w:rPr>
            <w:rStyle w:val="Hyperlink"/>
          </w:rPr>
          <w:t xml:space="preserve">3</w:t>
        </w:r>
      </w:hyperlink>
      <w:r>
        <w:t xml:space="preserve"> </w:t>
      </w:r>
      <w:r>
        <w:t xml:space="preserve">reports hold-out regression metrics for representative targets.</w:t>
      </w:r>
    </w:p>
    <w:bookmarkStart w:id="61" w:name="tab:holdout-all"/>
    <w:p>
      <w:pPr>
        <w:pStyle w:val="TableCaption"/>
      </w:pPr>
      <w:r>
        <w:t xml:space="preserve">Hold-out metrics (</w:t>
      </w:r>
      <m:oMath>
        <m:r>
          <m:rPr>
            <m:sty m:val="p"/>
          </m:rPr>
          <m:t>|</m:t>
        </m:r>
        <m:sSub>
          <m:e>
            <m:r>
              <m:rPr>
                <m:scr m:val="script"/>
                <m:sty m:val="p"/>
              </m:rPr>
              <m:t>D</m:t>
            </m:r>
          </m:e>
          <m:sub>
            <m:r>
              <m:rPr>
                <m:sty m:val="p"/>
              </m:rPr>
              <m:t>t</m:t>
            </m:r>
            <m:r>
              <m:rPr>
                <m:sty m:val="p"/>
              </m:rPr>
              <m:t>e</m:t>
            </m:r>
          </m:sub>
        </m:sSub>
        <m:r>
          <m:rPr>
            <m:sty m:val="p"/>
          </m:rPr>
          <m:t>|</m:t>
        </m:r>
        <m:r>
          <m:rPr>
            <m:sty m:val="p"/>
          </m:rPr>
          <m:t>=</m:t>
        </m:r>
        <m:r>
          <m:t>26</m:t>
        </m:r>
      </m:oMath>
      <w:r>
        <w:t xml:space="preserve">) for representative targets; all 20 in</w:t>
      </w:r>
      <w:r>
        <w:t xml:space="preserve"> </w:t>
      </w:r>
      <w:r>
        <w:rPr>
          <w:rStyle w:val="VerbatimChar"/>
        </w:rPr>
        <w:t xml:space="preserve">selected_holdout_summary.csv</w:t>
      </w:r>
      <w:r>
        <w:t xml:space="preserve">.</w:t>
      </w:r>
    </w:p>
    <w:tbl>
      <w:tblPr>
        <w:tblStyle w:val="Table"/>
        <w:tblW w:type="auto" w:w="0"/>
        <w:tblLook w:firstRow="1" w:lastRow="0" w:firstColumn="0" w:lastColumn="0" w:noHBand="0" w:noVBand="0" w:val="0020"/>
        <w:tblCaption w:val="Hold-out metrics (|\mathcal{D}_{\mathrm{te}}|{=}26) for representative targets; all 20 in selected_holdout_summary.csv."/>
      </w:tblPr>
      <w:tblGrid>
        <w:gridCol w:w="1584"/>
        <w:gridCol w:w="1584"/>
        <w:gridCol w:w="1584"/>
        <w:gridCol w:w="1584"/>
        <w:gridCol w:w="1584"/>
      </w:tblGrid>
      <w:tr>
        <w:trPr>
          <w:tblHeader w:val="on"/>
        </w:trPr>
        <w:tc>
          <w:tcPr/>
          <w:p>
            <w:pPr>
              <w:pStyle w:val="Compact"/>
              <w:jc w:val="left"/>
            </w:pPr>
            <w:r>
              <w:t xml:space="preserve">Target</w:t>
            </w:r>
          </w:p>
        </w:tc>
        <w:tc>
          <w:tcPr/>
          <w:p>
            <w:pPr>
              <w:pStyle w:val="Compact"/>
              <w:jc w:val="lef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m:oMath>
              <m:sSup>
                <m:e>
                  <m:r>
                    <m:t>R</m:t>
                  </m:r>
                </m:e>
                <m:sup>
                  <m:r>
                    <m:t>2</m:t>
                  </m:r>
                </m:sup>
              </m:sSup>
            </m:oMath>
          </w:p>
        </w:tc>
      </w:tr>
      <w:tr>
        <w:tc>
          <w:tcPr/>
          <w:p>
            <w:pPr>
              <w:pStyle w:val="Compact"/>
              <w:jc w:val="left"/>
            </w:pPr>
            <w:r>
              <w:rPr>
                <w:rStyle w:val="VerbatimChar"/>
              </w:rPr>
              <w:t xml:space="preserve">TT_OB_Agri</w:t>
            </w:r>
          </w:p>
        </w:tc>
        <w:tc>
          <w:tcPr/>
          <w:p>
            <w:pPr>
              <w:pStyle w:val="Compact"/>
              <w:jc w:val="left"/>
            </w:pPr>
            <w:r>
              <w:t xml:space="preserve">ExtraTrees</w:t>
            </w:r>
          </w:p>
        </w:tc>
        <w:tc>
          <w:tcPr/>
          <w:p>
            <w:pPr>
              <w:pStyle w:val="Compact"/>
              <w:jc w:val="right"/>
            </w:pPr>
            <w:r>
              <w:t xml:space="preserve">5.41</w:t>
            </w:r>
          </w:p>
        </w:tc>
        <w:tc>
          <w:tcPr/>
          <w:p>
            <w:pPr>
              <w:pStyle w:val="Compact"/>
              <w:jc w:val="right"/>
            </w:pPr>
            <w:r>
              <w:t xml:space="preserve">3.11</w:t>
            </w:r>
          </w:p>
        </w:tc>
        <w:tc>
          <w:tcPr/>
          <w:p>
            <w:pPr>
              <w:pStyle w:val="Compact"/>
              <w:jc w:val="right"/>
            </w:pPr>
            <w:r>
              <w:t xml:space="preserve">0.97</w:t>
            </w:r>
          </w:p>
        </w:tc>
      </w:tr>
      <w:tr>
        <w:tc>
          <w:tcPr/>
          <w:p>
            <w:pPr>
              <w:pStyle w:val="Compact"/>
              <w:jc w:val="left"/>
            </w:pPr>
            <w:r>
              <w:rPr>
                <w:rStyle w:val="VerbatimChar"/>
              </w:rPr>
              <w:t xml:space="preserve">TT_IB_Agri</w:t>
            </w:r>
          </w:p>
        </w:tc>
        <w:tc>
          <w:tcPr/>
          <w:p>
            <w:pPr>
              <w:pStyle w:val="Compact"/>
              <w:jc w:val="left"/>
            </w:pPr>
            <w:r>
              <w:t xml:space="preserve">ExtraTrees</w:t>
            </w:r>
          </w:p>
        </w:tc>
        <w:tc>
          <w:tcPr/>
          <w:p>
            <w:pPr>
              <w:pStyle w:val="Compact"/>
              <w:jc w:val="right"/>
            </w:pPr>
            <w:r>
              <w:t xml:space="preserve">7.92</w:t>
            </w:r>
          </w:p>
        </w:tc>
        <w:tc>
          <w:tcPr/>
          <w:p>
            <w:pPr>
              <w:pStyle w:val="Compact"/>
              <w:jc w:val="right"/>
            </w:pPr>
            <w:r>
              <w:t xml:space="preserve">4.74</w:t>
            </w:r>
          </w:p>
        </w:tc>
        <w:tc>
          <w:tcPr/>
          <w:p>
            <w:pPr>
              <w:pStyle w:val="Compact"/>
              <w:jc w:val="right"/>
            </w:pPr>
            <w:r>
              <w:t xml:space="preserve">0.97</w:t>
            </w:r>
          </w:p>
        </w:tc>
      </w:tr>
      <w:tr>
        <w:tc>
          <w:tcPr/>
          <w:p>
            <w:pPr>
              <w:pStyle w:val="Compact"/>
              <w:jc w:val="left"/>
            </w:pPr>
            <w:r>
              <w:rPr>
                <w:rStyle w:val="VerbatimChar"/>
              </w:rPr>
              <w:t xml:space="preserve">TT_OB_LB</w:t>
            </w:r>
          </w:p>
        </w:tc>
        <w:tc>
          <w:tcPr/>
          <w:p>
            <w:pPr>
              <w:pStyle w:val="Compact"/>
              <w:jc w:val="left"/>
            </w:pPr>
            <w:r>
              <w:t xml:space="preserve">ExtraTrees</w:t>
            </w:r>
          </w:p>
        </w:tc>
        <w:tc>
          <w:tcPr/>
          <w:p>
            <w:pPr>
              <w:pStyle w:val="Compact"/>
              <w:jc w:val="right"/>
            </w:pPr>
            <w:r>
              <w:t xml:space="preserve">0.18</w:t>
            </w:r>
          </w:p>
        </w:tc>
        <w:tc>
          <w:tcPr/>
          <w:p>
            <w:pPr>
              <w:pStyle w:val="Compact"/>
              <w:jc w:val="right"/>
            </w:pPr>
            <w:r>
              <w:t xml:space="preserve">0.13</w:t>
            </w:r>
          </w:p>
        </w:tc>
        <w:tc>
          <w:tcPr/>
          <w:p>
            <w:pPr>
              <w:pStyle w:val="Compact"/>
              <w:jc w:val="right"/>
            </w:pPr>
            <w:r>
              <w:t xml:space="preserve">0.79</w:t>
            </w:r>
          </w:p>
        </w:tc>
      </w:tr>
      <w:tr>
        <w:tc>
          <w:tcPr/>
          <w:p>
            <w:pPr>
              <w:pStyle w:val="Compact"/>
              <w:jc w:val="left"/>
            </w:pPr>
            <w:r>
              <w:rPr>
                <w:rStyle w:val="VerbatimChar"/>
              </w:rPr>
              <w:t xml:space="preserve">TT_IB_LB</w:t>
            </w:r>
          </w:p>
        </w:tc>
        <w:tc>
          <w:tcPr/>
          <w:p>
            <w:pPr>
              <w:pStyle w:val="Compact"/>
              <w:jc w:val="left"/>
            </w:pPr>
            <w:r>
              <w:t xml:space="preserve">Lasso</w:t>
            </w:r>
          </w:p>
        </w:tc>
        <w:tc>
          <w:tcPr/>
          <w:p>
            <w:pPr>
              <w:pStyle w:val="Compact"/>
              <w:jc w:val="right"/>
            </w:pPr>
            <w:r>
              <w:t xml:space="preserve">22.10</w:t>
            </w:r>
          </w:p>
        </w:tc>
        <w:tc>
          <w:tcPr/>
          <w:p>
            <w:pPr>
              <w:pStyle w:val="Compact"/>
              <w:jc w:val="right"/>
            </w:pPr>
            <w:r>
              <w:t xml:space="preserve">19.00</w:t>
            </w:r>
          </w:p>
        </w:tc>
        <w:tc>
          <w:tcPr/>
          <w:p>
            <w:pPr>
              <w:pStyle w:val="Compact"/>
              <w:jc w:val="right"/>
            </w:pPr>
            <w:r>
              <w:t xml:space="preserve">0.82</w:t>
            </w:r>
          </w:p>
        </w:tc>
      </w:tr>
      <w:tr>
        <w:tc>
          <w:tcPr/>
          <w:p>
            <w:pPr>
              <w:pStyle w:val="Compact"/>
              <w:jc w:val="left"/>
            </w:pPr>
            <w:r>
              <w:rPr>
                <w:rStyle w:val="VerbatimChar"/>
              </w:rPr>
              <w:t xml:space="preserve">WT_IB_LB</w:t>
            </w:r>
          </w:p>
        </w:tc>
        <w:tc>
          <w:tcPr/>
          <w:p>
            <w:pPr>
              <w:pStyle w:val="Compact"/>
              <w:jc w:val="left"/>
            </w:pPr>
            <w:r>
              <w:t xml:space="preserve">Lasso</w:t>
            </w:r>
          </w:p>
        </w:tc>
        <w:tc>
          <w:tcPr/>
          <w:p>
            <w:pPr>
              <w:pStyle w:val="Compact"/>
              <w:jc w:val="right"/>
            </w:pPr>
            <w:r>
              <w:t xml:space="preserve">28.79</w:t>
            </w:r>
          </w:p>
        </w:tc>
        <w:tc>
          <w:tcPr/>
          <w:p>
            <w:pPr>
              <w:pStyle w:val="Compact"/>
              <w:jc w:val="right"/>
            </w:pPr>
            <w:r>
              <w:t xml:space="preserve">24.39</w:t>
            </w:r>
          </w:p>
        </w:tc>
        <w:tc>
          <w:tcPr/>
          <w:p>
            <w:pPr>
              <w:pStyle w:val="Compact"/>
              <w:jc w:val="right"/>
            </w:pPr>
            <w:r>
              <w:t xml:space="preserve">0.82</w:t>
            </w:r>
          </w:p>
        </w:tc>
      </w:tr>
      <w:tr>
        <w:tc>
          <w:tcPr/>
          <w:p>
            <w:pPr>
              <w:pStyle w:val="Compact"/>
              <w:jc w:val="left"/>
            </w:pPr>
            <w:r>
              <w:rPr>
                <w:rStyle w:val="VerbatimChar"/>
              </w:rPr>
              <w:t xml:space="preserve">WT_IB_NA_Dub</w:t>
            </w:r>
          </w:p>
        </w:tc>
        <w:tc>
          <w:tcPr/>
          <w:p>
            <w:pPr>
              <w:pStyle w:val="Compact"/>
              <w:jc w:val="left"/>
            </w:pPr>
            <w:r>
              <w:t xml:space="preserve">Lasso</w:t>
            </w:r>
          </w:p>
        </w:tc>
        <w:tc>
          <w:tcPr/>
          <w:p>
            <w:pPr>
              <w:pStyle w:val="Compact"/>
              <w:jc w:val="right"/>
            </w:pPr>
            <w:r>
              <w:t xml:space="preserve">29.29</w:t>
            </w:r>
          </w:p>
        </w:tc>
        <w:tc>
          <w:tcPr/>
          <w:p>
            <w:pPr>
              <w:pStyle w:val="Compact"/>
              <w:jc w:val="right"/>
            </w:pPr>
            <w:r>
              <w:t xml:space="preserve">25.19</w:t>
            </w:r>
          </w:p>
        </w:tc>
        <w:tc>
          <w:tcPr/>
          <w:p>
            <w:pPr>
              <w:pStyle w:val="Compact"/>
              <w:jc w:val="right"/>
            </w:pPr>
            <w:r>
              <w:t xml:space="preserve">0.82</w:t>
            </w:r>
          </w:p>
        </w:tc>
      </w:tr>
      <w:tr>
        <w:tc>
          <w:tcPr/>
          <w:p>
            <w:pPr>
              <w:pStyle w:val="Compact"/>
              <w:jc w:val="left"/>
            </w:pPr>
            <w:r>
              <w:rPr>
                <w:rStyle w:val="VerbatimChar"/>
              </w:rPr>
              <w:t xml:space="preserve">WT_IB_NA_Ross</w:t>
            </w:r>
          </w:p>
        </w:tc>
        <w:tc>
          <w:tcPr/>
          <w:p>
            <w:pPr>
              <w:pStyle w:val="Compact"/>
              <w:jc w:val="left"/>
            </w:pPr>
            <w:r>
              <w:t xml:space="preserve">SVR_RBF</w:t>
            </w:r>
          </w:p>
        </w:tc>
        <w:tc>
          <w:tcPr/>
          <w:p>
            <w:pPr>
              <w:pStyle w:val="Compact"/>
              <w:jc w:val="right"/>
            </w:pPr>
            <w:r>
              <w:t xml:space="preserve">9.65</w:t>
            </w:r>
          </w:p>
        </w:tc>
        <w:tc>
          <w:tcPr/>
          <w:p>
            <w:pPr>
              <w:pStyle w:val="Compact"/>
              <w:jc w:val="right"/>
            </w:pPr>
            <w:r>
              <w:t xml:space="preserve">2.90</w:t>
            </w:r>
          </w:p>
        </w:tc>
        <w:tc>
          <w:tcPr/>
          <w:p>
            <w:pPr>
              <w:pStyle w:val="Compact"/>
              <w:jc w:val="right"/>
            </w:pPr>
            <w:r>
              <w:t xml:space="preserve">0.03</w:t>
            </w:r>
          </w:p>
        </w:tc>
      </w:tr>
      <w:tr>
        <w:tc>
          <w:tcPr/>
          <w:p>
            <w:pPr>
              <w:pStyle w:val="Compact"/>
              <w:jc w:val="left"/>
            </w:pPr>
            <w:r>
              <w:rPr>
                <w:rStyle w:val="VerbatimChar"/>
              </w:rPr>
              <w:t xml:space="preserve">WT_OB_LB</w:t>
            </w:r>
          </w:p>
        </w:tc>
        <w:tc>
          <w:tcPr/>
          <w:p>
            <w:pPr>
              <w:pStyle w:val="Compact"/>
              <w:jc w:val="left"/>
            </w:pPr>
            <w:r>
              <w:t xml:space="preserve">GPR_Matern</w:t>
            </w:r>
          </w:p>
        </w:tc>
        <w:tc>
          <w:tcPr/>
          <w:p>
            <w:pPr>
              <w:pStyle w:val="Compact"/>
              <w:jc w:val="right"/>
            </w:pPr>
            <w:r>
              <w:t xml:space="preserve">0.28</w:t>
            </w:r>
          </w:p>
        </w:tc>
        <w:tc>
          <w:tcPr/>
          <w:p>
            <w:pPr>
              <w:pStyle w:val="Compact"/>
              <w:jc w:val="right"/>
            </w:pPr>
            <w:r>
              <w:t xml:space="preserve">0.21</w:t>
            </w:r>
          </w:p>
        </w:tc>
        <w:tc>
          <w:tcPr/>
          <w:p>
            <w:pPr>
              <w:pStyle w:val="Compact"/>
              <w:jc w:val="right"/>
            </w:pPr>
            <w:r>
              <w:t xml:space="preserve">0.89</w:t>
            </w:r>
          </w:p>
        </w:tc>
      </w:tr>
      <w:tr>
        <w:tc>
          <w:tcPr/>
          <w:p>
            <w:pPr>
              <w:pStyle w:val="Compact"/>
              <w:jc w:val="left"/>
            </w:pPr>
            <w:r>
              <w:rPr>
                <w:rStyle w:val="VerbatimChar"/>
              </w:rPr>
              <w:t xml:space="preserve">Uti_DAFM_D</w:t>
            </w:r>
          </w:p>
        </w:tc>
        <w:tc>
          <w:tcPr/>
          <w:p>
            <w:pPr>
              <w:pStyle w:val="Compact"/>
              <w:jc w:val="left"/>
            </w:pPr>
            <w:r>
              <w:t xml:space="preserve">GPR_Matern</w:t>
            </w:r>
          </w:p>
        </w:tc>
        <w:tc>
          <w:tcPr/>
          <w:p>
            <w:pPr>
              <w:pStyle w:val="Compact"/>
              <w:jc w:val="right"/>
            </w:pPr>
            <w:r>
              <w:t xml:space="preserve">0.040</w:t>
            </w:r>
          </w:p>
        </w:tc>
        <w:tc>
          <w:tcPr/>
          <w:p>
            <w:pPr>
              <w:pStyle w:val="Compact"/>
              <w:jc w:val="right"/>
            </w:pPr>
            <w:r>
              <w:t xml:space="preserve">0.027</w:t>
            </w:r>
          </w:p>
        </w:tc>
        <w:tc>
          <w:tcPr/>
          <w:p>
            <w:pPr>
              <w:pStyle w:val="Compact"/>
              <w:jc w:val="right"/>
            </w:pPr>
            <w:r>
              <w:t xml:space="preserve">0.86</w:t>
            </w:r>
          </w:p>
        </w:tc>
      </w:tr>
      <w:tr>
        <w:tc>
          <w:tcPr/>
          <w:p>
            <w:pPr>
              <w:pStyle w:val="Compact"/>
              <w:jc w:val="left"/>
            </w:pPr>
            <w:r>
              <w:rPr>
                <w:rStyle w:val="VerbatimChar"/>
              </w:rPr>
              <w:t xml:space="preserve">Uti_DAFM_R</w:t>
            </w:r>
          </w:p>
        </w:tc>
        <w:tc>
          <w:tcPr/>
          <w:p>
            <w:pPr>
              <w:pStyle w:val="Compact"/>
              <w:jc w:val="left"/>
            </w:pPr>
            <w:r>
              <w:t xml:space="preserve">GPR_Matern</w:t>
            </w:r>
          </w:p>
        </w:tc>
        <w:tc>
          <w:tcPr/>
          <w:p>
            <w:pPr>
              <w:pStyle w:val="Compact"/>
              <w:jc w:val="right"/>
            </w:pPr>
            <w:r>
              <w:t xml:space="preserve">0.016</w:t>
            </w:r>
          </w:p>
        </w:tc>
        <w:tc>
          <w:tcPr/>
          <w:p>
            <w:pPr>
              <w:pStyle w:val="Compact"/>
              <w:jc w:val="right"/>
            </w:pPr>
            <w:r>
              <w:t xml:space="preserve">0.013</w:t>
            </w:r>
          </w:p>
        </w:tc>
        <w:tc>
          <w:tcPr/>
          <w:p>
            <w:pPr>
              <w:pStyle w:val="Compact"/>
              <w:jc w:val="right"/>
            </w:pPr>
            <w:r>
              <w:t xml:space="preserve">0.93</w:t>
            </w:r>
          </w:p>
        </w:tc>
      </w:tr>
    </w:tbl>
    <w:bookmarkEnd w:id="61"/>
    <w:p>
      <w:pPr>
        <w:pStyle w:val="BodyText"/>
      </w:pPr>
      <w:r>
        <w:t xml:space="preserve">Figure </w:t>
      </w:r>
      <w:hyperlink w:anchor="fig:residual-agri">
        <w:r>
          <w:rPr>
            <w:rStyle w:val="Hyperlink"/>
          </w:rPr>
          <w:t xml:space="preserve">2</w:t>
        </w:r>
      </w:hyperlink>
      <w:r>
        <w:t xml:space="preserve">–</w:t>
      </w:r>
      <w:hyperlink w:anchor="fig:residual-util">
        <w:r>
          <w:rPr>
            <w:rStyle w:val="Hyperlink"/>
          </w:rPr>
          <w:t xml:space="preserve">4</w:t>
        </w:r>
      </w:hyperlink>
      <w:r>
        <w:t xml:space="preserve"> </w:t>
      </w:r>
      <w:r>
        <w:t xml:space="preserve">show hold-out residual panels (</w:t>
      </w:r>
      <m:oMath>
        <m:r>
          <m:t>n</m:t>
        </m:r>
        <m:r>
          <m:rPr>
            <m:sty m:val="p"/>
          </m:rPr>
          <m:t>=</m:t>
        </m:r>
        <m:r>
          <m:t>26</m:t>
        </m:r>
      </m:oMath>
      <w:r>
        <w:t xml:space="preserve">).</w:t>
      </w:r>
    </w:p>
    <w:bookmarkStart w:id="65" w:name="fig:residual-agri"/>
    <w:p>
      <w:pPr>
        <w:pStyle w:val="CaptionedFigure"/>
      </w:pPr>
      <w:r>
        <w:drawing>
          <wp:inline>
            <wp:extent cx="5334000" cy="1687285"/>
            <wp:effectExtent b="0" l="0" r="0" t="0"/>
            <wp:docPr descr="" title="" id="63" name="Picture"/>
            <a:graphic>
              <a:graphicData uri="http://schemas.openxmlformats.org/drawingml/2006/picture">
                <pic:pic>
                  <pic:nvPicPr>
                    <pic:cNvPr descr="figures/TT_OB_Agri_holdout_residual_diagnostics.png" id="64" name="Picture"/>
                    <pic:cNvPicPr>
                      <a:picLocks noChangeArrowheads="1" noChangeAspect="1"/>
                    </pic:cNvPicPr>
                  </pic:nvPicPr>
                  <pic:blipFill>
                    <a:blip r:embed="rId62"/>
                    <a:stretch>
                      <a:fillRect/>
                    </a:stretch>
                  </pic:blipFill>
                  <pic:spPr bwMode="auto">
                    <a:xfrm>
                      <a:off x="0" y="0"/>
                      <a:ext cx="5334000" cy="1687285"/>
                    </a:xfrm>
                    <a:prstGeom prst="rect">
                      <a:avLst/>
                    </a:prstGeom>
                    <a:noFill/>
                    <a:ln w="9525">
                      <a:noFill/>
                      <a:headEnd/>
                      <a:tailEnd/>
                    </a:ln>
                  </pic:spPr>
                </pic:pic>
              </a:graphicData>
            </a:graphic>
          </wp:inline>
        </w:drawing>
      </w:r>
    </w:p>
    <w:p>
      <w:pPr>
        <w:pStyle w:val="ImageCaption"/>
      </w:pPr>
      <w:r>
        <w:rPr>
          <w:rStyle w:val="VerbatimChar"/>
        </w:rPr>
        <w:t xml:space="preserve">TT_OB_Agri</w:t>
      </w:r>
      <w:r>
        <w:t xml:space="preserve"> </w:t>
      </w:r>
      <w:r>
        <w:t xml:space="preserve">(ExtraTrees): actual vs. predicted hours, residual structure, and count histogram on hold-out (</w:t>
      </w:r>
      <m:oMath>
        <m:sSup>
          <m:e>
            <m:r>
              <m:t>R</m:t>
            </m:r>
          </m:e>
          <m:sup>
            <m:r>
              <m:t>2</m:t>
            </m:r>
          </m:sup>
        </m:sSup>
        <m:r>
          <m:rPr>
            <m:sty m:val="p"/>
          </m:rPr>
          <m:t>=</m:t>
        </m:r>
        <m:r>
          <m:t>0.97</m:t>
        </m:r>
      </m:oMath>
      <w:r>
        <w:t xml:space="preserve">).</w:t>
      </w:r>
    </w:p>
    <w:bookmarkEnd w:id="65"/>
    <w:bookmarkStart w:id="69" w:name="fig:residual-failure"/>
    <w:p>
      <w:pPr>
        <w:pStyle w:val="CaptionedFigure"/>
      </w:pPr>
      <w:r>
        <w:drawing>
          <wp:inline>
            <wp:extent cx="5334000" cy="1688299"/>
            <wp:effectExtent b="0" l="0" r="0" t="0"/>
            <wp:docPr descr="" title="" id="67" name="Picture"/>
            <a:graphic>
              <a:graphicData uri="http://schemas.openxmlformats.org/drawingml/2006/picture">
                <pic:pic>
                  <pic:nvPicPr>
                    <pic:cNvPr descr="figures/WT_IB_NA_Ross_holdout_residual_diagnostics.png" id="68" name="Picture"/>
                    <pic:cNvPicPr>
                      <a:picLocks noChangeArrowheads="1" noChangeAspect="1"/>
                    </pic:cNvPicPr>
                  </pic:nvPicPr>
                  <pic:blipFill>
                    <a:blip r:embed="rId66"/>
                    <a:stretch>
                      <a:fillRect/>
                    </a:stretch>
                  </pic:blipFill>
                  <pic:spPr bwMode="auto">
                    <a:xfrm>
                      <a:off x="0" y="0"/>
                      <a:ext cx="5334000" cy="1688299"/>
                    </a:xfrm>
                    <a:prstGeom prst="rect">
                      <a:avLst/>
                    </a:prstGeom>
                    <a:noFill/>
                    <a:ln w="9525">
                      <a:noFill/>
                      <a:headEnd/>
                      <a:tailEnd/>
                    </a:ln>
                  </pic:spPr>
                </pic:pic>
              </a:graphicData>
            </a:graphic>
          </wp:inline>
        </w:drawing>
      </w:r>
    </w:p>
    <w:p>
      <w:pPr>
        <w:pStyle w:val="ImageCaption"/>
      </w:pPr>
      <w:r>
        <w:rPr>
          <w:rStyle w:val="VerbatimChar"/>
        </w:rPr>
        <w:t xml:space="preserve">WT_IB_NA_Ross</w:t>
      </w:r>
      <w:r>
        <w:t xml:space="preserve"> </w:t>
      </w:r>
      <w:r>
        <w:t xml:space="preserve">(SVR_RBF): elevated RMSE vs. OLS, right-skewed residuals, and systematic bias flag.</w:t>
      </w:r>
    </w:p>
    <w:bookmarkEnd w:id="69"/>
    <w:bookmarkStart w:id="73" w:name="fig:residual-util"/>
    <w:p>
      <w:pPr>
        <w:pStyle w:val="CaptionedFigure"/>
      </w:pPr>
      <w:r>
        <w:drawing>
          <wp:inline>
            <wp:extent cx="5334000" cy="1687285"/>
            <wp:effectExtent b="0" l="0" r="0" t="0"/>
            <wp:docPr descr="" title="" id="71" name="Picture"/>
            <a:graphic>
              <a:graphicData uri="http://schemas.openxmlformats.org/drawingml/2006/picture">
                <pic:pic>
                  <pic:nvPicPr>
                    <pic:cNvPr descr="figures/Uti_DAFM_D_holdout_residual_diagnostics.png" id="72" name="Picture"/>
                    <pic:cNvPicPr>
                      <a:picLocks noChangeArrowheads="1" noChangeAspect="1"/>
                    </pic:cNvPicPr>
                  </pic:nvPicPr>
                  <pic:blipFill>
                    <a:blip r:embed="rId70"/>
                    <a:stretch>
                      <a:fillRect/>
                    </a:stretch>
                  </pic:blipFill>
                  <pic:spPr bwMode="auto">
                    <a:xfrm>
                      <a:off x="0" y="0"/>
                      <a:ext cx="5334000" cy="1687285"/>
                    </a:xfrm>
                    <a:prstGeom prst="rect">
                      <a:avLst/>
                    </a:prstGeom>
                    <a:noFill/>
                    <a:ln w="9525">
                      <a:noFill/>
                      <a:headEnd/>
                      <a:tailEnd/>
                    </a:ln>
                  </pic:spPr>
                </pic:pic>
              </a:graphicData>
            </a:graphic>
          </wp:inline>
        </w:drawing>
      </w:r>
    </w:p>
    <w:p>
      <w:pPr>
        <w:pStyle w:val="ImageCaption"/>
      </w:pPr>
      <w:r>
        <w:rPr>
          <w:rStyle w:val="VerbatimChar"/>
        </w:rPr>
        <w:t xml:space="preserve">Uti_DAFM_D</w:t>
      </w:r>
      <w:r>
        <w:t xml:space="preserve"> </w:t>
      </w:r>
      <w:r>
        <w:t xml:space="preserve">(GPR_Matern): tight errors on</w:t>
      </w:r>
      <w:r>
        <w:t xml:space="preserve"> </w:t>
      </w:r>
      <m:oMath>
        <m:r>
          <m:rPr>
            <m:sty m:val="p"/>
          </m:rPr>
          <m:t>[</m:t>
        </m:r>
        <m:r>
          <m:t>0</m:t>
        </m:r>
        <m:r>
          <m:rPr>
            <m:sty m:val="p"/>
          </m:rPr>
          <m:t>,</m:t>
        </m:r>
        <m:r>
          <m:t>1</m:t>
        </m:r>
        <m:r>
          <m:rPr>
            <m:sty m:val="p"/>
          </m:rPr>
          <m:t>]</m:t>
        </m:r>
      </m:oMath>
      <w:r>
        <w:t xml:space="preserve"> </w:t>
      </w:r>
      <w:r>
        <w:t xml:space="preserve">utilisation.</w:t>
      </w:r>
    </w:p>
    <w:bookmarkEnd w:id="73"/>
    <w:bookmarkEnd w:id="74"/>
    <w:bookmarkStart w:id="77" w:name="X6b377f750dc55b7be088d207f3b40809bf4b18b"/>
    <w:p>
      <w:pPr>
        <w:pStyle w:val="Heading2"/>
      </w:pPr>
      <w:r>
        <w:t xml:space="preserve">Model comparison and explainability (placeholders)</w:t>
      </w:r>
    </w:p>
    <w:p>
      <w:pPr>
        <w:pStyle w:val="FirstParagraph"/>
      </w:pPr>
      <w:r>
        <w:t xml:space="preserve">Figure </w:t>
      </w:r>
      <w:hyperlink w:anchor="fig:heatmap-placeholder">
        <w:r>
          <w:rPr>
            <w:rStyle w:val="Hyperlink"/>
          </w:rPr>
          <w:t xml:space="preserve">5</w:t>
        </w:r>
      </w:hyperlink>
      <w:r>
        <w:t xml:space="preserve"> </w:t>
      </w:r>
      <w:r>
        <w:t xml:space="preserve">will embed the paired</w:t>
      </w:r>
      <w:r>
        <w:t xml:space="preserve"> </w:t>
      </w:r>
      <m:oMath>
        <m:r>
          <m:t>t</m:t>
        </m:r>
      </m:oMath>
      <w:r>
        <w:t xml:space="preserve">-test</w:t>
      </w:r>
      <w:r>
        <w:t xml:space="preserve"> </w:t>
      </w:r>
      <m:oMath>
        <m:r>
          <m:t>p</m:t>
        </m:r>
      </m:oMath>
      <w:r>
        <w:t xml:space="preserve">-value heatmap (export from</w:t>
      </w:r>
      <w:r>
        <w:t xml:space="preserve"> </w:t>
      </w:r>
      <w:r>
        <w:rPr>
          <w:rStyle w:val="VerbatimChar"/>
        </w:rPr>
        <w:t xml:space="preserve">cv_fold_details.xlsx</w:t>
      </w:r>
      <w:r>
        <w:t xml:space="preserve">).</w:t>
      </w:r>
    </w:p>
    <w:bookmarkStart w:id="75" w:name="fig:heatmap-placeholder"/>
    <w:tbl>
      <w:tblPr>
        <w:tblStyle w:val="FigureTable"/>
        <w:tblW w:type="auto" w:w="0"/>
        <w:jc w:val="center"/>
        <w:tblLook w:firstRow="0" w:lastRow="0" w:firstColumn="0" w:lastColumn="0"/>
      </w:tblPr>
      <w:tblGrid/>
    </w:tbl>
    <w:p>
      <w:pPr>
        <w:pStyle w:val="ImageCaption"/>
      </w:pPr>
      <w:r>
        <w:t xml:space="preserve">Paired</w:t>
      </w:r>
      <w:r>
        <w:t xml:space="preserve"> </w:t>
      </w:r>
      <m:oMath>
        <m:r>
          <m:t>t</m:t>
        </m:r>
      </m:oMath>
      <w:r>
        <w:t xml:space="preserve">-test</w:t>
      </w:r>
      <w:r>
        <w:t xml:space="preserve"> </w:t>
      </w:r>
      <m:oMath>
        <m:r>
          <m:t>p</m:t>
        </m:r>
      </m:oMath>
      <w:r>
        <w:t xml:space="preserve">-values across model pairs (representative target; camera-ready).</w:t>
      </w:r>
    </w:p>
    <w:bookmarkEnd w:id="75"/>
    <w:p>
      <w:pPr>
        <w:pStyle w:val="BodyText"/>
      </w:pPr>
      <w:r>
        <w:t xml:space="preserve">Figure </w:t>
      </w:r>
      <w:hyperlink w:anchor="fig:shap-placeholder">
        <w:r>
          <w:rPr>
            <w:rStyle w:val="Hyperlink"/>
          </w:rPr>
          <w:t xml:space="preserve">6</w:t>
        </w:r>
      </w:hyperlink>
      <w:r>
        <w:t xml:space="preserve"> </w:t>
      </w:r>
      <w:r>
        <w:t xml:space="preserve">will embed a SHAP beeswarm for a representative transit target.</w:t>
      </w:r>
    </w:p>
    <w:bookmarkStart w:id="76" w:name="fig:shap-placeholder"/>
    <w:tbl>
      <w:tblPr>
        <w:tblStyle w:val="FigureTable"/>
        <w:tblW w:type="auto" w:w="0"/>
        <w:jc w:val="center"/>
        <w:tblLook w:firstRow="0" w:lastRow="0" w:firstColumn="0" w:lastColumn="0"/>
      </w:tblPr>
      <w:tblGrid/>
    </w:tbl>
    <w:p>
      <w:pPr>
        <w:pStyle w:val="ImageCaption"/>
      </w:pPr>
      <w:r>
        <w:t xml:space="preserve">Global SHAP beeswarm for</w:t>
      </w:r>
      <w:r>
        <w:t xml:space="preserve"> </w:t>
      </w:r>
      <w:r>
        <w:rPr>
          <w:rStyle w:val="VerbatimChar"/>
        </w:rPr>
        <w:t xml:space="preserve">TT_OB_Agri</w:t>
      </w:r>
      <w:r>
        <w:t xml:space="preserve"> </w:t>
      </w:r>
      <w:r>
        <w:t xml:space="preserve">(</w:t>
      </w:r>
      <w:r>
        <w:rPr>
          <w:rStyle w:val="VerbatimChar"/>
        </w:rPr>
        <w:t xml:space="preserve">composite_pre_test</w:t>
      </w:r>
      <w:r>
        <w:t xml:space="preserve"> </w:t>
      </w:r>
      <w:r>
        <w:t xml:space="preserve">winner; camera-ready).</w:t>
      </w:r>
    </w:p>
    <w:bookmarkEnd w:id="76"/>
    <w:bookmarkEnd w:id="77"/>
    <w:bookmarkEnd w:id="78"/>
    <w:bookmarkStart w:id="80" w:name="app:repro"/>
    <w:p>
      <w:pPr>
        <w:pStyle w:val="Heading1"/>
      </w:pPr>
      <w:r>
        <w:t xml:space="preserve">Reproducibility</w:t>
      </w:r>
    </w:p>
    <w:p>
      <w:pPr>
        <w:pStyle w:val="FirstParagraph"/>
      </w:pPr>
      <w:r>
        <w:t xml:space="preserve">From</w:t>
      </w:r>
      <w:r>
        <w:t xml:space="preserve"> </w:t>
      </w:r>
      <w:r>
        <w:rPr>
          <w:rStyle w:val="VerbatimChar"/>
        </w:rPr>
        <w:t xml:space="preserve">experimenting_ml/</w:t>
      </w:r>
      <w:r>
        <w:t xml:space="preserve">:</w:t>
      </w:r>
    </w:p>
    <w:p>
      <w:pPr>
        <w:pStyle w:val="SourceCode"/>
      </w:pPr>
      <w:r>
        <w:rPr>
          <w:rStyle w:val="VerbatimChar"/>
        </w:rPr>
        <w:t xml:space="preserve">python run_step1_cv.py --cv-mode repeated10 --n-repeats 3</w:t>
      </w:r>
      <w:r>
        <w:br/>
      </w:r>
      <w:r>
        <w:rPr>
          <w:rStyle w:val="VerbatimChar"/>
        </w:rPr>
        <w:t xml:space="preserve">python run_paired_ttests.py</w:t>
      </w:r>
      <w:r>
        <w:br/>
      </w:r>
      <w:r>
        <w:rPr>
          <w:rStyle w:val="VerbatimChar"/>
        </w:rPr>
        <w:t xml:space="preserve">python run_mentor_step2.py</w:t>
      </w:r>
      <w:r>
        <w:br/>
      </w:r>
      <w:r>
        <w:rPr>
          <w:rStyle w:val="VerbatimChar"/>
        </w:rPr>
        <w:t xml:space="preserve">python run_step3_pre_conformal.py</w:t>
      </w:r>
      <w:r>
        <w:br/>
      </w:r>
      <w:r>
        <w:rPr>
          <w:rStyle w:val="VerbatimChar"/>
        </w:rPr>
        <w:t xml:space="preserve">python run_step6_retrain.py</w:t>
      </w:r>
      <w:r>
        <w:br/>
      </w:r>
      <w:r>
        <w:rPr>
          <w:rStyle w:val="VerbatimChar"/>
        </w:rPr>
        <w:t xml:space="preserve">python run_step4_shap.py --selection composite_pre_test</w:t>
      </w:r>
      <w:r>
        <w:br/>
      </w:r>
      <w:r>
        <w:rPr>
          <w:rStyle w:val="VerbatimChar"/>
        </w:rPr>
        <w:t xml:space="preserve">python run_step7_9_evaluate.py</w:t>
      </w:r>
      <w:r>
        <w:br/>
      </w:r>
      <w:r>
        <w:rPr>
          <w:rStyle w:val="VerbatimChar"/>
        </w:rPr>
        <w:t xml:space="preserve">python run_step10_report.py</w:t>
      </w:r>
      <w:r>
        <w:br/>
      </w:r>
      <w:r>
        <w:rPr>
          <w:rStyle w:val="VerbatimChar"/>
        </w:rPr>
        <w:t xml:space="preserve">python run_ui_inference_api.py</w:t>
      </w:r>
    </w:p>
    <w:p>
      <w:pPr>
        <w:pStyle w:val="FirstParagraph"/>
      </w:pPr>
      <w:r>
        <w:t xml:space="preserve">UI:</w:t>
      </w:r>
      <w:r>
        <w:t xml:space="preserve"> </w:t>
      </w:r>
      <w:hyperlink r:id="rId79">
        <w:r>
          <w:rPr>
            <w:rStyle w:val="Hyperlink"/>
          </w:rPr>
          <w:t xml:space="preserve">http://127.0.0.1:8000/UI/index.html</w:t>
        </w:r>
      </w:hyperlink>
    </w:p>
    <w:bookmarkEnd w:id="80"/>
    <w:bookmarkStart w:id="143" w:name="app:group18"/>
    <w:p>
      <w:pPr>
        <w:pStyle w:val="Heading1"/>
      </w:pPr>
      <w:r>
        <w:t xml:space="preserve">Group 18 final report extract</w:t>
      </w:r>
    </w:p>
    <w:p>
      <w:pPr>
        <w:pStyle w:val="FirstParagraph"/>
      </w:pPr>
      <w:r>
        <w:rPr>
          <w:b/>
          <w:bCs/>
        </w:rPr>
        <w:t xml:space="preserve">Project title (module report):</w:t>
      </w:r>
      <w:r>
        <w:t xml:space="preserve"> </w:t>
      </w:r>
      <w:r>
        <w:t xml:space="preserve">ML-Driven Web UI for Supply Chain Simulation.</w:t>
      </w:r>
      <w:r>
        <w:t xml:space="preserve"> </w:t>
      </w:r>
      <w:r>
        <w:rPr>
          <w:b/>
          <w:bCs/>
        </w:rPr>
        <w:t xml:space="preserve">Module:</w:t>
      </w:r>
      <w:r>
        <w:t xml:space="preserve"> </w:t>
      </w:r>
      <w:r>
        <w:t xml:space="preserve">MI6228 Analytics Live.</w:t>
      </w:r>
      <w:r>
        <w:t xml:space="preserve"> </w:t>
      </w:r>
      <w:r>
        <w:rPr>
          <w:b/>
          <w:bCs/>
        </w:rPr>
        <w:t xml:space="preserve">Mentor:</w:t>
      </w:r>
      <w:r>
        <w:t xml:space="preserve"> </w:t>
      </w:r>
      <w:r>
        <w:t xml:space="preserve">Amr Mahfouz.</w:t>
      </w:r>
      <w:r>
        <w:t xml:space="preserve"> </w:t>
      </w:r>
      <w:r>
        <w:rPr>
          <w:b/>
          <w:bCs/>
        </w:rPr>
        <w:t xml:space="preserve">Team:</w:t>
      </w:r>
      <w:r>
        <w:t xml:space="preserve"> </w:t>
      </w:r>
      <w:r>
        <w:t xml:space="preserve">Thu Thao Le; Hemant Kumar Ganesen; Inyanila Gnanasekar; Sakshi Jivan Dhamane; Uthara Prarath.</w:t>
      </w:r>
    </w:p>
    <w:bookmarkStart w:id="81" w:name="objectives-and-scope-report-2"/>
    <w:p>
      <w:pPr>
        <w:pStyle w:val="Heading2"/>
      </w:pPr>
      <w:r>
        <w:t xml:space="preserve">Objectives and scope (report §2)</w:t>
      </w:r>
    </w:p>
    <w:p>
      <w:pPr>
        <w:pStyle w:val="FirstParagraph"/>
      </w:pPr>
      <w:r>
        <w:rPr>
          <w:b/>
          <w:bCs/>
        </w:rPr>
        <w:t xml:space="preserve">Measurable objectives:</w:t>
      </w:r>
      <w:r>
        <w:t xml:space="preserve"> </w:t>
      </w:r>
      <w:r>
        <w:t xml:space="preserve">(1) near real-time scenario evaluation replacing per-run AnyLogic execution;</w:t>
      </w:r>
      <w:r>
        <w:t xml:space="preserve"> </w:t>
      </w:r>
      <w:r>
        <w:t xml:space="preserve">(2) hold-out-validated predictive accuracy;</w:t>
      </w:r>
      <w:r>
        <w:t xml:space="preserve"> </w:t>
      </w:r>
      <w:r>
        <w:t xml:space="preserve">(3) interval-based uncertainty for risk visibility;</w:t>
      </w:r>
      <w:r>
        <w:t xml:space="preserve"> </w:t>
      </w:r>
      <w:r>
        <w:t xml:space="preserve">(4) SHAP and persona-based attribution in the UI.</w:t>
      </w:r>
    </w:p>
    <w:p>
      <w:pPr>
        <w:pStyle w:val="BodyText"/>
      </w:pPr>
      <w:r>
        <w:rPr>
          <w:b/>
          <w:bCs/>
        </w:rPr>
        <w:t xml:space="preserve">Scope constraints:</w:t>
      </w:r>
      <w:r>
        <w:t xml:space="preserve"> </w:t>
      </w:r>
      <w:r>
        <w:t xml:space="preserve">training only on the 129-run NOLHC set (no live port feeds); simulation treated as fixed black box; chatbot limited to in-UI query/response; geography limited to Ireland–GB corridor (Dublin, Rosslare).</w:t>
      </w:r>
    </w:p>
    <w:bookmarkEnd w:id="81"/>
    <w:bookmarkStart w:id="82" w:name="architecture-layers-report-45"/>
    <w:p>
      <w:pPr>
        <w:pStyle w:val="Heading2"/>
      </w:pPr>
      <w:r>
        <w:t xml:space="preserve">Architecture layers (report §4–5)</w:t>
      </w:r>
    </w:p>
    <w:p>
      <w:pPr>
        <w:pStyle w:val="FirstParagraph"/>
      </w:pPr>
      <w:r>
        <w:t xml:space="preserve">Data (NOLHC)</w:t>
      </w:r>
      <w:r>
        <w:t xml:space="preserve"> </w:t>
      </w:r>
      <m:oMath>
        <m:r>
          <m:rPr>
            <m:sty m:val="p"/>
          </m:rPr>
          <m:t>→</m:t>
        </m:r>
      </m:oMath>
      <w:r>
        <w:t xml:space="preserve"> </w:t>
      </w:r>
      <w:r>
        <w:t xml:space="preserve">ML engine (19 families</w:t>
      </w:r>
      <w:r>
        <w:t xml:space="preserve"> </w:t>
      </w:r>
      <m:oMath>
        <m:r>
          <m:rPr>
            <m:sty m:val="p"/>
          </m:rPr>
          <m:t>×</m:t>
        </m:r>
      </m:oMath>
      <w:r>
        <w:t xml:space="preserve"> </w:t>
      </w:r>
      <w:r>
        <w:t xml:space="preserve">20 targets, repeated CV, paired</w:t>
      </w:r>
      <w:r>
        <w:t xml:space="preserve"> </w:t>
      </w:r>
      <m:oMath>
        <m:r>
          <m:t>t</m:t>
        </m:r>
      </m:oMath>
      <w:r>
        <w:t xml:space="preserve">-tests, Friedman/Nemenyi)</w:t>
      </w:r>
      <w:r>
        <w:t xml:space="preserve"> </w:t>
      </w:r>
      <m:oMath>
        <m:r>
          <m:rPr>
            <m:sty m:val="p"/>
          </m:rPr>
          <m:t>→</m:t>
        </m:r>
      </m:oMath>
      <w:r>
        <w:t xml:space="preserve"> </w:t>
      </w:r>
      <w:r>
        <w:t xml:space="preserve">SHAP</w:t>
      </w:r>
      <w:r>
        <w:t xml:space="preserve"> </w:t>
      </w:r>
      <m:oMath>
        <m:r>
          <m:rPr>
            <m:sty m:val="p"/>
          </m:rPr>
          <m:t>→</m:t>
        </m:r>
      </m:oMath>
      <w:r>
        <w:t xml:space="preserve"> </w:t>
      </w:r>
      <w:r>
        <w:t xml:space="preserve">LLM personas (Executive, Risk, Operations, Analyst)</w:t>
      </w:r>
      <w:r>
        <w:t xml:space="preserve"> </w:t>
      </w:r>
      <m:oMath>
        <m:r>
          <m:rPr>
            <m:sty m:val="p"/>
          </m:rPr>
          <m:t>→</m:t>
        </m:r>
      </m:oMath>
      <w:r>
        <w:t xml:space="preserve"> </w:t>
      </w:r>
      <w:r>
        <w:t xml:space="preserve">FastAPI</w:t>
      </w:r>
      <w:r>
        <w:t xml:space="preserve"> </w:t>
      </w:r>
      <m:oMath>
        <m:r>
          <m:rPr>
            <m:sty m:val="p"/>
          </m:rPr>
          <m:t>→</m:t>
        </m:r>
      </m:oMath>
      <w:r>
        <w:t xml:space="preserve"> </w:t>
      </w:r>
      <w:r>
        <w:t xml:space="preserve">web UI.</w:t>
      </w:r>
      <w:r>
        <w:t xml:space="preserve"> </w:t>
      </w:r>
      <w:r>
        <w:t xml:space="preserve">Post-Brexit inputs span four categories: trade volume shifts, direct-route redistribution, customs/DAFM resources, border-check intervention rates.</w:t>
      </w:r>
    </w:p>
    <w:bookmarkEnd w:id="82"/>
    <w:bookmarkStart w:id="83" w:name="validation-scenarios-report-6"/>
    <w:p>
      <w:pPr>
        <w:pStyle w:val="Heading2"/>
      </w:pPr>
      <w:r>
        <w:t xml:space="preserve">Validation scenarios (report §6)</w:t>
      </w:r>
    </w:p>
    <w:p>
      <w:pPr>
        <w:pStyle w:val="FirstParagraph"/>
      </w:pPr>
      <w:r>
        <w:t xml:space="preserve">Example stress cases: 30% agri SPS physical inspection with elevated customs timings; 25% landbridge demand shifted via Cherbourg; minimum DAFM bay capacity at both ports.</w:t>
      </w:r>
      <w:r>
        <w:t xml:space="preserve"> </w:t>
      </w:r>
      <w:r>
        <w:t xml:space="preserve">Decision Intelligence consolidates actual vs. predicted (AnyLogic hold-out), RMSE/MAE/</w:t>
      </w:r>
      <m:oMath>
        <m:sSup>
          <m:e>
            <m:r>
              <m:t>R</m:t>
            </m:r>
          </m:e>
          <m:sup>
            <m:r>
              <m:t>2</m:t>
            </m:r>
          </m:sup>
        </m:sSup>
      </m:oMath>
      <w:r>
        <w:t xml:space="preserve">, interval width/coverage, CV fold stability, and top SHAP features—answering accuracy, certainty, and driver questions in one view.</w:t>
      </w:r>
    </w:p>
    <w:bookmarkEnd w:id="83"/>
    <w:bookmarkStart w:id="84" w:name="key-findings-and-limitations-report-9"/>
    <w:p>
      <w:pPr>
        <w:pStyle w:val="Heading2"/>
      </w:pPr>
      <w:r>
        <w:t xml:space="preserve">Key findings and limitations (report §9)</w:t>
      </w:r>
    </w:p>
    <w:p>
      <w:pPr>
        <w:pStyle w:val="FirstParagraph"/>
      </w:pPr>
      <w:r>
        <w:rPr>
          <w:b/>
          <w:bCs/>
        </w:rPr>
        <w:t xml:space="preserve">Findings:</w:t>
      </w:r>
      <w:r>
        <w:t xml:space="preserve"> </w:t>
      </w:r>
      <w:r>
        <w:t xml:space="preserve">surrogates predict all 20 KPIs in real time within acceptable deviation from simulation; UI scenario families cover the four input categories without exposing full model structure; chatbot lowers interpretation barrier.</w:t>
      </w:r>
    </w:p>
    <w:p>
      <w:pPr>
        <w:pStyle w:val="BodyText"/>
      </w:pPr>
      <w:r>
        <w:rPr>
          <w:b/>
          <w:bCs/>
        </w:rPr>
        <w:t xml:space="preserve">Limitations:</w:t>
      </w:r>
      <w:r>
        <w:t xml:space="preserve"> </w:t>
      </w:r>
      <w:r>
        <w:t xml:space="preserve">speed–accuracy trade-off and poor extrapolation outside the 129-run envelope; closed-world training (no live freight intelligence; retrain required if simulation ranges change).</w:t>
      </w:r>
    </w:p>
    <w:bookmarkEnd w:id="84"/>
    <w:bookmarkStart w:id="85" w:name="appendix-artifact-index-report"/>
    <w:p>
      <w:pPr>
        <w:pStyle w:val="Heading2"/>
      </w:pPr>
      <w:r>
        <w:t xml:space="preserve">Appendix artifact index (report)</w:t>
      </w:r>
    </w:p>
    <w:p>
      <w:pPr>
        <w:numPr>
          <w:ilvl w:val="0"/>
          <w:numId w:val="1002"/>
        </w:numPr>
      </w:pPr>
      <w:r>
        <w:t xml:space="preserve">Hyperparameter tuning —</w:t>
      </w:r>
      <w:r>
        <w:t xml:space="preserve"> </w:t>
      </w:r>
      <w:r>
        <w:rPr>
          <w:rStyle w:val="VerbatimChar"/>
        </w:rPr>
        <w:t xml:space="preserve">cv_fold_details.xlsx</w:t>
      </w:r>
    </w:p>
    <w:p>
      <w:pPr>
        <w:numPr>
          <w:ilvl w:val="0"/>
          <w:numId w:val="1002"/>
        </w:numPr>
      </w:pPr>
      <w:r>
        <w:t xml:space="preserve">Paired</w:t>
      </w:r>
      <w:r>
        <w:t xml:space="preserve"> </w:t>
      </w:r>
      <m:oMath>
        <m:r>
          <m:t>t</m:t>
        </m:r>
      </m:oMath>
      <w:r>
        <w:t xml:space="preserve">-tests and pipeline summary — Excel tabs per target</w:t>
      </w:r>
    </w:p>
    <w:p>
      <w:pPr>
        <w:numPr>
          <w:ilvl w:val="0"/>
          <w:numId w:val="1002"/>
        </w:numPr>
      </w:pPr>
      <w:r>
        <w:t xml:space="preserve">Full experimentation —</w:t>
      </w:r>
      <w:r>
        <w:t xml:space="preserve"> </w:t>
      </w:r>
      <w:r>
        <w:rPr>
          <w:rStyle w:val="VerbatimChar"/>
        </w:rPr>
        <w:t xml:space="preserve">pipeline_results.xlsx</w:t>
      </w:r>
      <w:r>
        <w:t xml:space="preserve">,</w:t>
      </w:r>
      <w:r>
        <w:t xml:space="preserve"> </w:t>
      </w:r>
      <w:r>
        <w:rPr>
          <w:rStyle w:val="VerbatimChar"/>
        </w:rPr>
        <w:t xml:space="preserve">experiment_master.xlsx</w:t>
      </w:r>
    </w:p>
    <w:p>
      <w:pPr>
        <w:numPr>
          <w:ilvl w:val="0"/>
          <w:numId w:val="1002"/>
        </w:numPr>
      </w:pPr>
      <w:r>
        <w:t xml:space="preserve">Pre-conformal calibration (top-3 models) — Step 3 workbook</w:t>
      </w:r>
    </w:p>
    <w:p>
      <w:pPr>
        <w:numPr>
          <w:ilvl w:val="0"/>
          <w:numId w:val="1002"/>
        </w:numPr>
      </w:pPr>
      <w:r>
        <w:t xml:space="preserve">Conformal intervals —</w:t>
      </w:r>
      <w:r>
        <w:t xml:space="preserve"> </w:t>
      </w:r>
      <w:r>
        <w:rPr>
          <w:rStyle w:val="VerbatimChar"/>
        </w:rPr>
        <w:t xml:space="preserve">conformal_results.csv</w:t>
      </w:r>
    </w:p>
    <w:p>
      <w:pPr>
        <w:numPr>
          <w:ilvl w:val="0"/>
          <w:numId w:val="1002"/>
        </w:numPr>
      </w:pPr>
      <w:r>
        <w:t xml:space="preserve">SHAP explanations —</w:t>
      </w:r>
      <w:r>
        <w:t xml:space="preserve"> </w:t>
      </w:r>
      <w:r>
        <w:rPr>
          <w:rStyle w:val="VerbatimChar"/>
        </w:rPr>
        <w:t xml:space="preserve">shap_master.xlsx</w:t>
      </w:r>
      <w:r>
        <w:t xml:space="preserve">,</w:t>
      </w:r>
      <w:r>
        <w:t xml:space="preserve"> </w:t>
      </w:r>
      <w:r>
        <w:rPr>
          <w:rStyle w:val="VerbatimChar"/>
        </w:rPr>
        <w:t xml:space="preserve">outputs/step4_shap/</w:t>
      </w:r>
    </w:p>
    <w:p>
      <w:pPr>
        <w:numPr>
          <w:ilvl w:val="0"/>
          <w:numId w:val="1002"/>
        </w:numPr>
      </w:pPr>
      <w:r>
        <w:t xml:space="preserve">Parameter groups — simulation input crosswalk (Appendix 7 in report)</w:t>
      </w:r>
    </w:p>
    <w:bookmarkEnd w:id="85"/>
    <w:bookmarkStart w:id="86" w:name="business-context-abbreviated"/>
    <w:p>
      <w:pPr>
        <w:pStyle w:val="Heading2"/>
      </w:pPr>
      <w:r>
        <w:t xml:space="preserve">Business context (abbreviated)</w:t>
      </w:r>
    </w:p>
    <w:p>
      <w:pPr>
        <w:pStyle w:val="FirstParagraph"/>
      </w:pPr>
      <w:r>
        <w:rPr>
          <w:b/>
          <w:bCs/>
        </w:rPr>
        <w:t xml:space="preserve">Value proposition:</w:t>
      </w:r>
      <w:r>
        <w:t xml:space="preserve"> </w:t>
      </w:r>
      <w:r>
        <w:t xml:space="preserve">avoid AnyLogic Cloud API subscription cost; millisecond predictions; minimalist two-panel UI vs. 120+ raw parameters.</w:t>
      </w:r>
      <w:r>
        <w:t xml:space="preserve"> </w:t>
      </w:r>
      <w:r>
        <w:rPr>
          <w:b/>
          <w:bCs/>
        </w:rPr>
        <w:t xml:space="preserve">Stakeholders (Mendelow):</w:t>
      </w:r>
      <w:r>
        <w:t xml:space="preserve"> </w:t>
      </w:r>
      <w:r>
        <w:t xml:space="preserve">logistics enterprises and data partners (key players); port authorities/regulators (keep satisfied); agri SMEs (keep informed).</w:t>
      </w:r>
      <w:r>
        <w:t xml:space="preserve"> </w:t>
      </w:r>
      <w:r>
        <w:rPr>
          <w:b/>
          <w:bCs/>
        </w:rPr>
        <w:t xml:space="preserve">Go-to-market (conceptual):</w:t>
      </w:r>
      <w:r>
        <w:t xml:space="preserve"> </w:t>
      </w:r>
      <w:r>
        <w:t xml:space="preserve">Essential / Professional / Enterprise SaaS tiers plus industry pilots and shared scenario library.</w:t>
      </w:r>
    </w:p>
    <w:bookmarkEnd w:id="86"/>
    <w:bookmarkStart w:id="142" w:name="figures-in-pdf-report-not-embedded-here"/>
    <w:p>
      <w:pPr>
        <w:pStyle w:val="Heading2"/>
      </w:pPr>
      <w:r>
        <w:t xml:space="preserve">Figures in PDF report (not embedded here)</w:t>
      </w:r>
    </w:p>
    <w:p>
      <w:pPr>
        <w:pStyle w:val="FirstParagraph"/>
      </w:pPr>
      <w:r>
        <w:t xml:space="preserve">Include in camera-ready if allowed: Figure 4.1 (methodology architecture), Figure 4.2 (training workflow), Figure 5.1 (system architecture), Figure 3.1, SIG presentation slides if separate.</w:t>
      </w:r>
    </w:p>
    <w:bookmarkStart w:id="141" w:name="refs"/>
    <w:bookmarkStart w:id="87" w:name="ref-amroune2019"/>
    <w:p>
      <w:pPr>
        <w:pStyle w:val="Bibliography"/>
      </w:pPr>
      <w:r>
        <w:t xml:space="preserve">Amroune, M. et al.</w:t>
      </w:r>
      <w:r>
        <w:t xml:space="preserve"> 2019.</w:t>
      </w:r>
      <w:r>
        <w:t xml:space="preserve"> </w:t>
      </w:r>
      <w:r>
        <w:t xml:space="preserve">“A Review of Simulation and Machine Learning Integration in Supply Chain Management.”</w:t>
      </w:r>
      <w:r>
        <w:t xml:space="preserve"> </w:t>
      </w:r>
      <w:r>
        <w:rPr>
          <w:i/>
          <w:iCs/>
        </w:rPr>
        <w:t xml:space="preserve">International Journal of Production Research</w:t>
      </w:r>
      <w:r>
        <w:t xml:space="preserve"> </w:t>
      </w:r>
      <w:r>
        <w:t xml:space="preserve">57 (15–16): 1–13.</w:t>
      </w:r>
    </w:p>
    <w:bookmarkEnd w:id="87"/>
    <w:bookmarkStart w:id="88" w:name="ref-angelopoulos2021gentle"/>
    <w:p>
      <w:pPr>
        <w:pStyle w:val="Bibliography"/>
      </w:pPr>
      <w:r>
        <w:t xml:space="preserve">Angelopoulos, Anastasios N., and Stephen Bates. 2021.</w:t>
      </w:r>
      <w:r>
        <w:t xml:space="preserve"> </w:t>
      </w:r>
      <w:r>
        <w:t xml:space="preserve">“A Gentle Introduction to Conformal Prediction and Distribution-Free Uncertainty Quantification.”</w:t>
      </w:r>
      <w:r>
        <w:t xml:space="preserve"> </w:t>
      </w:r>
      <w:r>
        <w:rPr>
          <w:i/>
          <w:iCs/>
        </w:rPr>
        <w:t xml:space="preserve">Foundations and Trends in Machine Learning</w:t>
      </w:r>
      <w:r>
        <w:t xml:space="preserve"> </w:t>
      </w:r>
      <w:r>
        <w:t xml:space="preserve">16 (4): 494–591.</w:t>
      </w:r>
    </w:p>
    <w:bookmarkEnd w:id="88"/>
    <w:bookmarkStart w:id="89" w:name="ref-angelopoulos2023conformal"/>
    <w:p>
      <w:pPr>
        <w:pStyle w:val="Bibliography"/>
      </w:pPr>
      <w:r>
        <w:t xml:space="preserve">Angelopoulos, Anastasios N., and Stephen Bates. 2023.</w:t>
      </w:r>
      <w:r>
        <w:t xml:space="preserve"> </w:t>
      </w:r>
      <w:r>
        <w:t xml:space="preserve">“A Gentle Introduction to Conformal Prediction and Distribution-Free Uncertainty Quantification.”</w:t>
      </w:r>
      <w:r>
        <w:t xml:space="preserve"> </w:t>
      </w:r>
      <w:r>
        <w:rPr>
          <w:i/>
          <w:iCs/>
        </w:rPr>
        <w:t xml:space="preserve">Foundations and Trends in Machine Learning</w:t>
      </w:r>
      <w:r>
        <w:t xml:space="preserve"> </w:t>
      </w:r>
      <w:r>
        <w:t xml:space="preserve">16 (4): 494–591.</w:t>
      </w:r>
    </w:p>
    <w:bookmarkEnd w:id="89"/>
    <w:bookmarkStart w:id="90" w:name="ref-Bedoui2020"/>
    <w:p>
      <w:pPr>
        <w:pStyle w:val="Bibliography"/>
      </w:pPr>
      <w:r>
        <w:t xml:space="preserve">Bedoui, A. et al.</w:t>
      </w:r>
      <w:r>
        <w:t xml:space="preserve"> 2020.</w:t>
      </w:r>
      <w:r>
        <w:t xml:space="preserve"> </w:t>
      </w:r>
      <w:r>
        <w:rPr>
          <w:i/>
          <w:iCs/>
        </w:rPr>
        <w:t xml:space="preserve">Adaptive Sampling for Gaussian Process Surrogates</w:t>
      </w:r>
      <w:r>
        <w:t xml:space="preserve">.</w:t>
      </w:r>
    </w:p>
    <w:bookmarkEnd w:id="90"/>
    <w:bookmarkStart w:id="91" w:name="ref-bentejac2019"/>
    <w:p>
      <w:pPr>
        <w:pStyle w:val="Bibliography"/>
      </w:pPr>
      <w:r>
        <w:t xml:space="preserve">Bentéjac, Anna, Csaba Csörgő, and Gonzalo Martínez-Muñoz. 2019a.</w:t>
      </w:r>
      <w:r>
        <w:t xml:space="preserve"> </w:t>
      </w:r>
      <w:r>
        <w:t xml:space="preserve">“A Comparative Analysis of Gradient Boosting Algorithms.”</w:t>
      </w:r>
      <w:r>
        <w:t xml:space="preserve"> </w:t>
      </w:r>
      <w:r>
        <w:rPr>
          <w:i/>
          <w:iCs/>
        </w:rPr>
        <w:t xml:space="preserve">Artificial Intelligence Review</w:t>
      </w:r>
      <w:r>
        <w:t xml:space="preserve"> </w:t>
      </w:r>
      <w:r>
        <w:t xml:space="preserve">54: 1937–67.</w:t>
      </w:r>
    </w:p>
    <w:bookmarkEnd w:id="91"/>
    <w:bookmarkStart w:id="92" w:name="ref-Bentejac2024"/>
    <w:p>
      <w:pPr>
        <w:pStyle w:val="Bibliography"/>
      </w:pPr>
      <w:r>
        <w:t xml:space="preserve">Bentéjac, Anna, Csaba Csörgő, and Gonzalo Martínez-Muñoz. 2019b.</w:t>
      </w:r>
      <w:r>
        <w:t xml:space="preserve"> </w:t>
      </w:r>
      <w:r>
        <w:t xml:space="preserve">“A Comparative Analysis of Gradient Boosting Algorithms.”</w:t>
      </w:r>
      <w:r>
        <w:t xml:space="preserve"> </w:t>
      </w:r>
      <w:r>
        <w:rPr>
          <w:i/>
          <w:iCs/>
        </w:rPr>
        <w:t xml:space="preserve">Artificial Intelligence Review</w:t>
      </w:r>
      <w:r>
        <w:t xml:space="preserve"> </w:t>
      </w:r>
      <w:r>
        <w:t xml:space="preserve">54: 1937–67.</w:t>
      </w:r>
    </w:p>
    <w:bookmarkEnd w:id="92"/>
    <w:bookmarkStart w:id="93" w:name="ref-bogoclu2021"/>
    <w:p>
      <w:pPr>
        <w:pStyle w:val="Bibliography"/>
      </w:pPr>
      <w:r>
        <w:t xml:space="preserve">Bogoclu, Cem, Dirk Roos, and Tamara Nestorović. 2021.</w:t>
      </w:r>
      <w:r>
        <w:t xml:space="preserve"> </w:t>
      </w:r>
      <w:r>
        <w:t xml:space="preserve">“Local Latin Hypercube Refinement for Multi-Objective Design Uncertainty Optimization.”</w:t>
      </w:r>
      <w:r>
        <w:t xml:space="preserve"> </w:t>
      </w:r>
      <w:r>
        <w:rPr>
          <w:i/>
          <w:iCs/>
        </w:rPr>
        <w:t xml:space="preserve">Applied Soft Computing</w:t>
      </w:r>
      <w:r>
        <w:t xml:space="preserve"> </w:t>
      </w:r>
      <w:r>
        <w:t xml:space="preserve">112: 107807.</w:t>
      </w:r>
    </w:p>
    <w:bookmarkEnd w:id="93"/>
    <w:bookmarkStart w:id="94" w:name="ref-breiman2001random"/>
    <w:p>
      <w:pPr>
        <w:pStyle w:val="Bibliography"/>
      </w:pPr>
      <w:r>
        <w:t xml:space="preserve">Breiman, Leo. 2001.</w:t>
      </w:r>
      <w:r>
        <w:t xml:space="preserve"> </w:t>
      </w:r>
      <w:r>
        <w:t xml:space="preserve">“Random Forests.”</w:t>
      </w:r>
      <w:r>
        <w:t xml:space="preserve"> </w:t>
      </w:r>
      <w:r>
        <w:rPr>
          <w:i/>
          <w:iCs/>
        </w:rPr>
        <w:t xml:space="preserve">Machine Learning</w:t>
      </w:r>
      <w:r>
        <w:t xml:space="preserve"> </w:t>
      </w:r>
      <w:r>
        <w:t xml:space="preserve">45 (1): 5–32.</w:t>
      </w:r>
    </w:p>
    <w:bookmarkEnd w:id="94"/>
    <w:bookmarkStart w:id="95" w:name="ref-byrne2009"/>
    <w:p>
      <w:pPr>
        <w:pStyle w:val="Bibliography"/>
      </w:pPr>
      <w:r>
        <w:t xml:space="preserve">Byrne, P. J., Cathal Heavey, and P. J. Byrne. 2009.</w:t>
      </w:r>
      <w:r>
        <w:t xml:space="preserve"> </w:t>
      </w:r>
      <w:r>
        <w:t xml:space="preserve">“A Review of Web-Based Simulation and Its Applications in the Supply Chain.”</w:t>
      </w:r>
      <w:r>
        <w:t xml:space="preserve"> </w:t>
      </w:r>
      <w:r>
        <w:rPr>
          <w:i/>
          <w:iCs/>
        </w:rPr>
        <w:t xml:space="preserve">International Journal of Production Economics</w:t>
      </w:r>
      <w:r>
        <w:t xml:space="preserve"> </w:t>
      </w:r>
      <w:r>
        <w:t xml:space="preserve">122 (1): 1–7.</w:t>
      </w:r>
    </w:p>
    <w:bookmarkEnd w:id="95"/>
    <w:bookmarkStart w:id="96" w:name="ref-chen2016xgboost"/>
    <w:p>
      <w:pPr>
        <w:pStyle w:val="Bibliography"/>
      </w:pPr>
      <w:r>
        <w:t xml:space="preserve">Chen, Tianqi, and Carlos Guestrin. 2016.</w:t>
      </w:r>
      <w:r>
        <w:t xml:space="preserve"> </w:t>
      </w:r>
      <w:r>
        <w:t xml:space="preserve">“</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785–94.</w:t>
      </w:r>
    </w:p>
    <w:bookmarkEnd w:id="96"/>
    <w:bookmarkStart w:id="97" w:name="ref-Cheng2017"/>
    <w:p>
      <w:pPr>
        <w:pStyle w:val="Bibliography"/>
      </w:pPr>
      <w:r>
        <w:t xml:space="preserve">Cheng, Rui et al.</w:t>
      </w:r>
      <w:r>
        <w:t xml:space="preserve"> 2017.</w:t>
      </w:r>
      <w:r>
        <w:t xml:space="preserve"> </w:t>
      </w:r>
      <w:r>
        <w:t xml:space="preserve">“Gaussian Process Regression for Computer Experiments.”</w:t>
      </w:r>
      <w:r>
        <w:t xml:space="preserve"> </w:t>
      </w:r>
      <w:r>
        <w:rPr>
          <w:i/>
          <w:iCs/>
        </w:rPr>
        <w:t xml:space="preserve">Journal of Quality Technology</w:t>
      </w:r>
      <w:r>
        <w:t xml:space="preserve">.</w:t>
      </w:r>
    </w:p>
    <w:bookmarkEnd w:id="97"/>
    <w:bookmarkStart w:id="98" w:name="ref-cioppa2007"/>
    <w:p>
      <w:pPr>
        <w:pStyle w:val="Bibliography"/>
      </w:pPr>
      <w:r>
        <w:t xml:space="preserve">Cioppa, Thomas M., and Thomas J. Lucas. 2007.</w:t>
      </w:r>
      <w:r>
        <w:t xml:space="preserve"> </w:t>
      </w:r>
      <w:r>
        <w:t xml:space="preserve">“Efficient Nearly Orthogonal and Space-Filling Latin Hypercubes.”</w:t>
      </w:r>
      <w:r>
        <w:t xml:space="preserve"> </w:t>
      </w:r>
      <w:r>
        <w:rPr>
          <w:i/>
          <w:iCs/>
        </w:rPr>
        <w:t xml:space="preserve">Technometrics</w:t>
      </w:r>
      <w:r>
        <w:t xml:space="preserve"> </w:t>
      </w:r>
      <w:r>
        <w:t xml:space="preserve">49 (1): 45–55.</w:t>
      </w:r>
    </w:p>
    <w:bookmarkEnd w:id="98"/>
    <w:bookmarkStart w:id="100" w:name="ref-copenhagen2018"/>
    <w:p>
      <w:pPr>
        <w:pStyle w:val="Bibliography"/>
      </w:pPr>
      <w:r>
        <w:t xml:space="preserve">Copenhagen Economics. 2018.</w:t>
      </w:r>
      <w:r>
        <w:t xml:space="preserve"> </w:t>
      </w:r>
      <w:r>
        <w:rPr>
          <w:i/>
          <w:iCs/>
        </w:rPr>
        <w:t xml:space="preserve">Ireland &amp; the Impacts of Brexit</w:t>
      </w:r>
      <w:r>
        <w:t xml:space="preserve">.</w:t>
      </w:r>
      <w:r>
        <w:t xml:space="preserve"> </w:t>
      </w:r>
      <w:hyperlink r:id="rId99">
        <w:r>
          <w:rPr>
            <w:rStyle w:val="Hyperlink"/>
          </w:rPr>
          <w:t xml:space="preserve">Https://copenhageneconomics.com/publication/ireland-the-impacts-of-brexit/</w:t>
        </w:r>
      </w:hyperlink>
      <w:r>
        <w:t xml:space="preserve">.</w:t>
      </w:r>
    </w:p>
    <w:bookmarkEnd w:id="100"/>
    <w:bookmarkStart w:id="101" w:name="ref-cortes1995svm"/>
    <w:p>
      <w:pPr>
        <w:pStyle w:val="Bibliography"/>
      </w:pPr>
      <w:r>
        <w:t xml:space="preserve">Cortes, Corinna, and Vladimir Vapnik. 1995.</w:t>
      </w:r>
      <w:r>
        <w:t xml:space="preserve"> </w:t>
      </w:r>
      <w:r>
        <w:t xml:space="preserve">“Support-Vector Networks.”</w:t>
      </w:r>
      <w:r>
        <w:t xml:space="preserve"> </w:t>
      </w:r>
      <w:r>
        <w:rPr>
          <w:i/>
          <w:iCs/>
        </w:rPr>
        <w:t xml:space="preserve">Machine Learning</w:t>
      </w:r>
      <w:r>
        <w:t xml:space="preserve"> </w:t>
      </w:r>
      <w:r>
        <w:t xml:space="preserve">20 (3): 273–97.</w:t>
      </w:r>
    </w:p>
    <w:bookmarkEnd w:id="101"/>
    <w:bookmarkStart w:id="102" w:name="ref-demvsar2006statistical"/>
    <w:p>
      <w:pPr>
        <w:pStyle w:val="Bibliography"/>
      </w:pPr>
      <w:r>
        <w:t xml:space="preserve">Demšar, Janez. 2006.</w:t>
      </w:r>
      <w:r>
        <w:t xml:space="preserve"> </w:t>
      </w:r>
      <w:r>
        <w:t xml:space="preserve">“Statistical Comparisons of Classifiers over Multiple Data Sets.”</w:t>
      </w:r>
      <w:r>
        <w:t xml:space="preserve"> </w:t>
      </w:r>
      <w:r>
        <w:rPr>
          <w:i/>
          <w:iCs/>
        </w:rPr>
        <w:t xml:space="preserve">Journal of Machine Learning Research</w:t>
      </w:r>
      <w:r>
        <w:t xml:space="preserve"> </w:t>
      </w:r>
      <w:r>
        <w:t xml:space="preserve">7: 1–30.</w:t>
      </w:r>
    </w:p>
    <w:bookmarkEnd w:id="102"/>
    <w:bookmarkStart w:id="103" w:name="ref-dietterich1998approximate"/>
    <w:p>
      <w:pPr>
        <w:pStyle w:val="Bibliography"/>
      </w:pPr>
      <w:r>
        <w:t xml:space="preserve">Dietterich, Thomas G. 1998.</w:t>
      </w:r>
      <w:r>
        <w:t xml:space="preserve"> </w:t>
      </w:r>
      <w:r>
        <w:t xml:space="preserve">“Approximate Statistical Tests for Comparing Supervised Classification Learning Algorithms.”</w:t>
      </w:r>
      <w:r>
        <w:t xml:space="preserve"> </w:t>
      </w:r>
      <w:r>
        <w:rPr>
          <w:i/>
          <w:iCs/>
        </w:rPr>
        <w:t xml:space="preserve">Neural Computation</w:t>
      </w:r>
      <w:r>
        <w:t xml:space="preserve"> </w:t>
      </w:r>
      <w:r>
        <w:t xml:space="preserve">10 (7): 1895–923.</w:t>
      </w:r>
    </w:p>
    <w:bookmarkEnd w:id="103"/>
    <w:bookmarkStart w:id="104" w:name="ref-forrester2008"/>
    <w:p>
      <w:pPr>
        <w:pStyle w:val="Bibliography"/>
      </w:pPr>
      <w:r>
        <w:t xml:space="preserve">Forrester, Alexander, Andras Sóbester, and Andy Keane. 2008.</w:t>
      </w:r>
      <w:r>
        <w:t xml:space="preserve"> </w:t>
      </w:r>
      <w:r>
        <w:rPr>
          <w:i/>
          <w:iCs/>
        </w:rPr>
        <w:t xml:space="preserve">Engineering Design via Surrogate Modelling: A Practical Guide</w:t>
      </w:r>
      <w:r>
        <w:t xml:space="preserve">. Wiley.</w:t>
      </w:r>
    </w:p>
    <w:bookmarkEnd w:id="104"/>
    <w:bookmarkStart w:id="105" w:name="ref-friedman2001gbm"/>
    <w:p>
      <w:pPr>
        <w:pStyle w:val="Bibliography"/>
      </w:pPr>
      <w:r>
        <w:t xml:space="preserve">Friedman, Jerome H. 2001b.</w:t>
      </w:r>
      <w:r>
        <w:t xml:space="preserve"> </w:t>
      </w:r>
      <w:r>
        <w:t xml:space="preserve">“Greedy Function Approximation: A Gradient Boosting Machine.”</w:t>
      </w:r>
      <w:r>
        <w:t xml:space="preserve"> </w:t>
      </w:r>
      <w:r>
        <w:rPr>
          <w:i/>
          <w:iCs/>
        </w:rPr>
        <w:t xml:space="preserve">Annals of Statistics</w:t>
      </w:r>
      <w:r>
        <w:t xml:space="preserve"> </w:t>
      </w:r>
      <w:r>
        <w:t xml:space="preserve">29 (5): 1189–232.</w:t>
      </w:r>
    </w:p>
    <w:bookmarkEnd w:id="105"/>
    <w:bookmarkStart w:id="106" w:name="ref-friedman2001gradient"/>
    <w:p>
      <w:pPr>
        <w:pStyle w:val="Bibliography"/>
      </w:pPr>
      <w:r>
        <w:t xml:space="preserve">Friedman, Jerome H. 2001a.</w:t>
      </w:r>
      <w:r>
        <w:t xml:space="preserve"> </w:t>
      </w:r>
      <w:r>
        <w:t xml:space="preserve">“Greedy Function Approximation: A Gradient Boosting Machine.”</w:t>
      </w:r>
      <w:r>
        <w:t xml:space="preserve"> </w:t>
      </w:r>
      <w:r>
        <w:rPr>
          <w:i/>
          <w:iCs/>
        </w:rPr>
        <w:t xml:space="preserve">Annals of Statistics</w:t>
      </w:r>
      <w:r>
        <w:t xml:space="preserve"> </w:t>
      </w:r>
      <w:r>
        <w:t xml:space="preserve">29 (5): 1189–232.</w:t>
      </w:r>
    </w:p>
    <w:bookmarkEnd w:id="106"/>
    <w:bookmarkStart w:id="107" w:name="ref-halder2024"/>
    <w:p>
      <w:pPr>
        <w:pStyle w:val="Bibliography"/>
      </w:pPr>
      <w:r>
        <w:t xml:space="preserve">Halder, S. et al.</w:t>
      </w:r>
      <w:r>
        <w:t xml:space="preserve"> 2024.</w:t>
      </w:r>
      <w:r>
        <w:t xml:space="preserve"> </w:t>
      </w:r>
      <w:r>
        <w:t xml:space="preserve">“Deep Learning for Surrogate Modeling: A Review.”</w:t>
      </w:r>
      <w:r>
        <w:t xml:space="preserve"> </w:t>
      </w:r>
      <w:r>
        <w:rPr>
          <w:i/>
          <w:iCs/>
        </w:rPr>
        <w:t xml:space="preserve">Expert Systems with Applications</w:t>
      </w:r>
      <w:r>
        <w:t xml:space="preserve">.</w:t>
      </w:r>
    </w:p>
    <w:bookmarkEnd w:id="107"/>
    <w:bookmarkStart w:id="108" w:name="ref-hoerl1970ridge"/>
    <w:p>
      <w:pPr>
        <w:pStyle w:val="Bibliography"/>
      </w:pPr>
      <w:r>
        <w:t xml:space="preserve">Hoerl, Arthur E., and Robert W. Kennard. 1970.</w:t>
      </w:r>
      <w:r>
        <w:t xml:space="preserve"> </w:t>
      </w:r>
      <w:r>
        <w:t xml:space="preserve">“Ridge Regression: Biased Estimation for Nonorthogonal Problems.”</w:t>
      </w:r>
      <w:r>
        <w:t xml:space="preserve"> </w:t>
      </w:r>
      <w:r>
        <w:rPr>
          <w:i/>
          <w:iCs/>
        </w:rPr>
        <w:t xml:space="preserve">Technometrics</w:t>
      </w:r>
      <w:r>
        <w:t xml:space="preserve"> </w:t>
      </w:r>
      <w:r>
        <w:t xml:space="preserve">12 (1): 55–67.</w:t>
      </w:r>
    </w:p>
    <w:bookmarkEnd w:id="108"/>
    <w:bookmarkStart w:id="109" w:name="ref-Ivanov2021"/>
    <w:p>
      <w:pPr>
        <w:pStyle w:val="Bibliography"/>
      </w:pPr>
      <w:r>
        <w:t xml:space="preserve">Ivanov, Dmitry et al.</w:t>
      </w:r>
      <w:r>
        <w:t xml:space="preserve"> 2021.</w:t>
      </w:r>
      <w:r>
        <w:t xml:space="preserve"> </w:t>
      </w:r>
      <w:r>
        <w:rPr>
          <w:i/>
          <w:iCs/>
        </w:rPr>
        <w:t xml:space="preserve">Introduction to Operations and Supply Chain Simulation</w:t>
      </w:r>
      <w:r>
        <w:t xml:space="preserve">. Springer.</w:t>
      </w:r>
    </w:p>
    <w:bookmarkEnd w:id="109"/>
    <w:bookmarkStart w:id="110" w:name="ref-ivanov2025"/>
    <w:p>
      <w:pPr>
        <w:pStyle w:val="Bibliography"/>
      </w:pPr>
      <w:r>
        <w:t xml:space="preserve">Ivanov, Dmitry, William P. Millhiser, and Phong Nguyen. 2025.</w:t>
      </w:r>
      <w:r>
        <w:t xml:space="preserve"> </w:t>
      </w:r>
      <w:r>
        <w:rPr>
          <w:i/>
          <w:iCs/>
        </w:rPr>
        <w:t xml:space="preserve">Introduction to Operations and Supply Chain Simulation with</w:t>
      </w:r>
      <w:r>
        <w:rPr>
          <w:i/>
          <w:iCs/>
        </w:rPr>
        <w:t xml:space="preserve"> </w:t>
      </w:r>
      <w:r>
        <w:rPr>
          <w:i/>
          <w:iCs/>
        </w:rPr>
        <w:t xml:space="preserve">AnyLogic</w:t>
      </w:r>
      <w:r>
        <w:t xml:space="preserve">. Springer.</w:t>
      </w:r>
    </w:p>
    <w:bookmarkEnd w:id="110"/>
    <w:bookmarkStart w:id="111" w:name="ref-tay2021"/>
    <w:p>
      <w:pPr>
        <w:pStyle w:val="Bibliography"/>
      </w:pPr>
      <w:r>
        <w:t xml:space="preserve">James, Gareth, Daniela Witten, Trevor Hastie, and Robert Tibshirani. 2021.</w:t>
      </w:r>
      <w:r>
        <w:t xml:space="preserve"> </w:t>
      </w:r>
      <w:r>
        <w:rPr>
          <w:i/>
          <w:iCs/>
        </w:rPr>
        <w:t xml:space="preserve">An Introduction to Statistical Learning with Applications in</w:t>
      </w:r>
      <w:r>
        <w:rPr>
          <w:i/>
          <w:iCs/>
        </w:rPr>
        <w:t xml:space="preserve"> </w:t>
      </w:r>
      <w:r>
        <w:rPr>
          <w:i/>
          <w:iCs/>
        </w:rPr>
        <w:t xml:space="preserve">R</w:t>
      </w:r>
      <w:r>
        <w:t xml:space="preserve">. 2nd ed. Springer.</w:t>
      </w:r>
    </w:p>
    <w:bookmarkEnd w:id="111"/>
    <w:bookmarkStart w:id="112" w:name="ref-jia2025pairwise"/>
    <w:p>
      <w:pPr>
        <w:pStyle w:val="Bibliography"/>
      </w:pPr>
      <w:r>
        <w:t xml:space="preserve">Jia, Bao-Bao, Jia-Yuan Liu, and Min-Ling Zhang. 2025.</w:t>
      </w:r>
      <w:r>
        <w:t xml:space="preserve"> </w:t>
      </w:r>
      <w:r>
        <w:t xml:space="preserve">“Pairwise Statistical Comparisons of Multiple Algorithms.”</w:t>
      </w:r>
      <w:r>
        <w:t xml:space="preserve"> </w:t>
      </w:r>
      <w:r>
        <w:rPr>
          <w:i/>
          <w:iCs/>
        </w:rPr>
        <w:t xml:space="preserve">Frontiers of Computer Science</w:t>
      </w:r>
      <w:r>
        <w:t xml:space="preserve"> </w:t>
      </w:r>
      <w:r>
        <w:t xml:space="preserve">19 (12): 1912372.</w:t>
      </w:r>
    </w:p>
    <w:bookmarkEnd w:id="112"/>
    <w:bookmarkStart w:id="113" w:name="ref-Jin2020"/>
    <w:p>
      <w:pPr>
        <w:pStyle w:val="Bibliography"/>
      </w:pPr>
      <w:r>
        <w:t xml:space="preserve">Jin, Y. et al.</w:t>
      </w:r>
      <w:r>
        <w:t xml:space="preserve"> 2020.</w:t>
      </w:r>
      <w:r>
        <w:t xml:space="preserve"> </w:t>
      </w:r>
      <w:r>
        <w:rPr>
          <w:i/>
          <w:iCs/>
        </w:rPr>
        <w:t xml:space="preserve">Bayesian Methods for Computer Experiments</w:t>
      </w:r>
      <w:r>
        <w:t xml:space="preserve">.</w:t>
      </w:r>
    </w:p>
    <w:bookmarkEnd w:id="113"/>
    <w:bookmarkStart w:id="114" w:name="ref-jolicoeur2023"/>
    <w:p>
      <w:pPr>
        <w:pStyle w:val="Bibliography"/>
      </w:pPr>
      <w:r>
        <w:t xml:space="preserve">Jolicoeur-Martineau, Alexia et al.</w:t>
      </w:r>
      <w:r>
        <w:t xml:space="preserve"> 2023.</w:t>
      </w:r>
      <w:r>
        <w:t xml:space="preserve"> </w:t>
      </w:r>
      <w:r>
        <w:t xml:space="preserve">“Gradient Boosting: A Review.”</w:t>
      </w:r>
      <w:r>
        <w:t xml:space="preserve"> </w:t>
      </w:r>
      <w:r>
        <w:rPr>
          <w:i/>
          <w:iCs/>
        </w:rPr>
        <w:t xml:space="preserve">arXiv Preprint</w:t>
      </w:r>
      <w:r>
        <w:t xml:space="preserve">.</w:t>
      </w:r>
    </w:p>
    <w:bookmarkEnd w:id="114"/>
    <w:bookmarkStart w:id="115" w:name="ref-ke2017lightgbm"/>
    <w:p>
      <w:pPr>
        <w:pStyle w:val="Bibliography"/>
      </w:pPr>
      <w:r>
        <w:t xml:space="preserve">Ke, Guolin, Qi Meng, Thomas Finley, et al. 2017.</w:t>
      </w:r>
      <w:r>
        <w:t xml:space="preserve"> </w:t>
      </w:r>
      <w:r>
        <w:t xml:space="preserve">“</w:t>
      </w:r>
      <w:r>
        <w:t xml:space="preserve">LightGBM</w:t>
      </w:r>
      <w:r>
        <w:t xml:space="preserve">: A Highly Efficient Gradient Boosting Decision Tree.”</w:t>
      </w:r>
      <w:r>
        <w:t xml:space="preserve"> </w:t>
      </w:r>
      <w:r>
        <w:rPr>
          <w:i/>
          <w:iCs/>
        </w:rPr>
        <w:t xml:space="preserve">Advances in Neural Information Processing Systems</w:t>
      </w:r>
      <w:r>
        <w:t xml:space="preserve"> </w:t>
      </w:r>
      <w:r>
        <w:t xml:space="preserve">30.</w:t>
      </w:r>
    </w:p>
    <w:bookmarkEnd w:id="115"/>
    <w:bookmarkStart w:id="116" w:name="ref-laato2022"/>
    <w:p>
      <w:pPr>
        <w:pStyle w:val="Bibliography"/>
      </w:pPr>
      <w:r>
        <w:t xml:space="preserve">Laato, Samuel et al.</w:t>
      </w:r>
      <w:r>
        <w:t xml:space="preserve"> 2022.</w:t>
      </w:r>
      <w:r>
        <w:t xml:space="preserve"> </w:t>
      </w:r>
      <w:r>
        <w:t xml:space="preserve">“How to Explain</w:t>
      </w:r>
      <w:r>
        <w:t xml:space="preserve"> </w:t>
      </w:r>
      <w:r>
        <w:t xml:space="preserve">AI</w:t>
      </w:r>
      <w:r>
        <w:t xml:space="preserve"> </w:t>
      </w:r>
      <w:r>
        <w:t xml:space="preserve">Systems to End Users: A Systematic Literature Review and Research Agenda.”</w:t>
      </w:r>
      <w:r>
        <w:t xml:space="preserve"> </w:t>
      </w:r>
      <w:r>
        <w:rPr>
          <w:i/>
          <w:iCs/>
        </w:rPr>
        <w:t xml:space="preserve">Internet Research</w:t>
      </w:r>
      <w:r>
        <w:t xml:space="preserve"> </w:t>
      </w:r>
      <w:r>
        <w:t xml:space="preserve">32: 1–31.</w:t>
      </w:r>
    </w:p>
    <w:bookmarkEnd w:id="116"/>
    <w:bookmarkStart w:id="117" w:name="ref-lundberg2017shap"/>
    <w:p>
      <w:pPr>
        <w:pStyle w:val="Bibliography"/>
      </w:pPr>
      <w:r>
        <w:t xml:space="preserve">Lundberg, Scott M., and Su-In Lee. 2017.</w:t>
      </w:r>
      <w:r>
        <w:t xml:space="preserve"> </w:t>
      </w:r>
      <w:r>
        <w:t xml:space="preserve">“A Unified Approach to Interpreting Model Predictions.”</w:t>
      </w:r>
      <w:r>
        <w:t xml:space="preserve"> </w:t>
      </w:r>
      <w:r>
        <w:rPr>
          <w:i/>
          <w:iCs/>
        </w:rPr>
        <w:t xml:space="preserve">Advances in Neural Information Processing Systems</w:t>
      </w:r>
      <w:r>
        <w:t xml:space="preserve"> </w:t>
      </w:r>
      <w:r>
        <w:t xml:space="preserve">30: 4765–74.</w:t>
      </w:r>
    </w:p>
    <w:bookmarkEnd w:id="117"/>
    <w:bookmarkStart w:id="118" w:name="ref-mahfouz2019"/>
    <w:p>
      <w:pPr>
        <w:pStyle w:val="Bibliography"/>
      </w:pPr>
      <w:r>
        <w:t xml:space="preserve">Mahfouz, Amr et al.</w:t>
      </w:r>
      <w:r>
        <w:t xml:space="preserve"> 2019.</w:t>
      </w:r>
      <w:r>
        <w:t xml:space="preserve"> </w:t>
      </w:r>
      <w:r>
        <w:t xml:space="preserve">“A Post-Brexit Transportation Scenario Analysis for an Agri-Fresh Produce Supply Chain.”</w:t>
      </w:r>
      <w:r>
        <w:t xml:space="preserve"> </w:t>
      </w:r>
      <w:r>
        <w:rPr>
          <w:i/>
          <w:iCs/>
        </w:rPr>
        <w:t xml:space="preserve">Proceedings of the 2019 Winter Simulation Conference</w:t>
      </w:r>
      <w:r>
        <w:t xml:space="preserve">, 1789–800.</w:t>
      </w:r>
    </w:p>
    <w:bookmarkEnd w:id="118"/>
    <w:bookmarkStart w:id="119" w:name="ref-mahfouz2020"/>
    <w:p>
      <w:pPr>
        <w:pStyle w:val="Bibliography"/>
      </w:pPr>
      <w:r>
        <w:t xml:space="preserve">Mahfouz, Amr et al.</w:t>
      </w:r>
      <w:r>
        <w:t xml:space="preserve"> 2020.</w:t>
      </w:r>
      <w:r>
        <w:t xml:space="preserve"> </w:t>
      </w:r>
      <w:r>
        <w:rPr>
          <w:i/>
          <w:iCs/>
        </w:rPr>
        <w:t xml:space="preserve">Post-Brexit Implications on Irish Freight Transport and Logistics Sector</w:t>
      </w:r>
      <w:r>
        <w:t xml:space="preserve">. Technological University Dublin.</w:t>
      </w:r>
    </w:p>
    <w:bookmarkEnd w:id="119"/>
    <w:bookmarkStart w:id="120" w:name="ref-Manfredi2024"/>
    <w:p>
      <w:pPr>
        <w:pStyle w:val="Bibliography"/>
      </w:pPr>
      <w:r>
        <w:t xml:space="preserve">Manfredi, L. et al.</w:t>
      </w:r>
      <w:r>
        <w:t xml:space="preserve"> 2024.</w:t>
      </w:r>
      <w:r>
        <w:t xml:space="preserve"> </w:t>
      </w:r>
      <w:r>
        <w:rPr>
          <w:i/>
          <w:iCs/>
        </w:rPr>
        <w:t xml:space="preserve">Uncertainty Quantification in Surrogate Models</w:t>
      </w:r>
      <w:r>
        <w:t xml:space="preserve">.</w:t>
      </w:r>
    </w:p>
    <w:bookmarkEnd w:id="120"/>
    <w:bookmarkStart w:id="121" w:name="ref-marrel2024"/>
    <w:p>
      <w:pPr>
        <w:pStyle w:val="Bibliography"/>
      </w:pPr>
      <w:r>
        <w:t xml:space="preserve">Marrel, Amélie, and Bertrand Iooss. 2024.</w:t>
      </w:r>
      <w:r>
        <w:t xml:space="preserve"> </w:t>
      </w:r>
      <w:r>
        <w:t xml:space="preserve">“Metamodels and Sensitivity Analysis for Computer Experiments.”</w:t>
      </w:r>
      <w:r>
        <w:t xml:space="preserve"> </w:t>
      </w:r>
      <w:r>
        <w:rPr>
          <w:i/>
          <w:iCs/>
        </w:rPr>
        <w:t xml:space="preserve">Wiley Interdisciplinary Reviews: Computational Statistics</w:t>
      </w:r>
      <w:r>
        <w:t xml:space="preserve">.</w:t>
      </w:r>
    </w:p>
    <w:bookmarkEnd w:id="121"/>
    <w:bookmarkStart w:id="122" w:name="ref-mienye2022"/>
    <w:p>
      <w:pPr>
        <w:pStyle w:val="Bibliography"/>
      </w:pPr>
      <w:r>
        <w:t xml:space="preserve">Mienye, Ibukun D., and Yanxia Sun. 2022.</w:t>
      </w:r>
      <w:r>
        <w:t xml:space="preserve"> </w:t>
      </w:r>
      <w:r>
        <w:t xml:space="preserve">“Gradient Boosting Decision Trees: A Survey.”</w:t>
      </w:r>
      <w:r>
        <w:t xml:space="preserve"> </w:t>
      </w:r>
      <w:r>
        <w:rPr>
          <w:i/>
          <w:iCs/>
        </w:rPr>
        <w:t xml:space="preserve">IEEE Access</w:t>
      </w:r>
      <w:r>
        <w:t xml:space="preserve">.</w:t>
      </w:r>
    </w:p>
    <w:bookmarkEnd w:id="122"/>
    <w:bookmarkStart w:id="123" w:name="ref-monarch2021"/>
    <w:p>
      <w:pPr>
        <w:pStyle w:val="Bibliography"/>
      </w:pPr>
      <w:r>
        <w:t xml:space="preserve">Monarch, Robert M. 2021.</w:t>
      </w:r>
      <w:r>
        <w:t xml:space="preserve"> </w:t>
      </w:r>
      <w:r>
        <w:rPr>
          <w:i/>
          <w:iCs/>
        </w:rPr>
        <w:t xml:space="preserve">Human-in-the-Loop Machine Learning: Active Learning and Annotation for Human-Centered</w:t>
      </w:r>
      <w:r>
        <w:rPr>
          <w:i/>
          <w:iCs/>
        </w:rPr>
        <w:t xml:space="preserve"> </w:t>
      </w:r>
      <w:r>
        <w:rPr>
          <w:i/>
          <w:iCs/>
        </w:rPr>
        <w:t xml:space="preserve">AI</w:t>
      </w:r>
      <w:r>
        <w:t xml:space="preserve">. Manning Publications.</w:t>
      </w:r>
    </w:p>
    <w:bookmarkEnd w:id="123"/>
    <w:bookmarkStart w:id="124" w:name="ref-nemenyi1963distribution"/>
    <w:p>
      <w:pPr>
        <w:pStyle w:val="Bibliography"/>
      </w:pPr>
      <w:r>
        <w:t xml:space="preserve">Nemenyi, Peter B. 1963.</w:t>
      </w:r>
      <w:r>
        <w:t xml:space="preserve"> </w:t>
      </w:r>
      <w:r>
        <w:t xml:space="preserve">“Distribution-Free Multiple Comparisons.”</w:t>
      </w:r>
      <w:r>
        <w:t xml:space="preserve"> </w:t>
      </w:r>
      <w:r>
        <w:t xml:space="preserve">PhD thesis, Princeton University.</w:t>
      </w:r>
    </w:p>
    <w:bookmarkEnd w:id="124"/>
    <w:bookmarkStart w:id="125" w:name="ref-Preethi2025"/>
    <w:p>
      <w:pPr>
        <w:pStyle w:val="Bibliography"/>
      </w:pPr>
      <w:r>
        <w:t xml:space="preserve">Preethi, G. et al.</w:t>
      </w:r>
      <w:r>
        <w:t xml:space="preserve"> 2025.</w:t>
      </w:r>
      <w:r>
        <w:t xml:space="preserve"> </w:t>
      </w:r>
      <w:r>
        <w:rPr>
          <w:i/>
          <w:iCs/>
        </w:rPr>
        <w:t xml:space="preserve">Comparative Evaluation of Machine Learning Models for Tabular Data</w:t>
      </w:r>
      <w:r>
        <w:t xml:space="preserve">.</w:t>
      </w:r>
    </w:p>
    <w:bookmarkEnd w:id="125"/>
    <w:bookmarkStart w:id="126" w:name="ref-prokhorenkova2018catboost"/>
    <w:p>
      <w:pPr>
        <w:pStyle w:val="Bibliography"/>
      </w:pPr>
      <w:r>
        <w:t xml:space="preserve">Prokhorenkova, Liudmila, Gleb Gusev, Aleksandr Vorobev, Anna Dorogush, and Andrey Gulin. 2018.</w:t>
      </w:r>
      <w:r>
        <w:t xml:space="preserve"> </w:t>
      </w:r>
      <w:r>
        <w:t xml:space="preserve">“</w:t>
      </w:r>
      <w:r>
        <w:t xml:space="preserve">CatBoost</w:t>
      </w:r>
      <w:r>
        <w:t xml:space="preserve">: Unbiased Boosting with Categorical Features.”</w:t>
      </w:r>
      <w:r>
        <w:t xml:space="preserve"> </w:t>
      </w:r>
      <w:r>
        <w:rPr>
          <w:i/>
          <w:iCs/>
        </w:rPr>
        <w:t xml:space="preserve">Advances in Neural Information Processing Systems</w:t>
      </w:r>
      <w:r>
        <w:t xml:space="preserve"> </w:t>
      </w:r>
      <w:r>
        <w:t xml:space="preserve">31.</w:t>
      </w:r>
    </w:p>
    <w:bookmarkEnd w:id="126"/>
    <w:bookmarkStart w:id="127" w:name="ref-rasmussen2006gpml"/>
    <w:p>
      <w:pPr>
        <w:pStyle w:val="Bibliography"/>
      </w:pPr>
      <w:r>
        <w:t xml:space="preserve">Rasmussen, Carl Edward, and Christopher K. I. Williams. 2006.</w:t>
      </w:r>
      <w:r>
        <w:t xml:space="preserve"> </w:t>
      </w:r>
      <w:r>
        <w:rPr>
          <w:i/>
          <w:iCs/>
        </w:rPr>
        <w:t xml:space="preserve">Gaussian Processes for Machine Learning</w:t>
      </w:r>
      <w:r>
        <w:t xml:space="preserve">. MIT Press.</w:t>
      </w:r>
    </w:p>
    <w:bookmarkEnd w:id="127"/>
    <w:bookmarkStart w:id="128" w:name="ref-razavi2012"/>
    <w:p>
      <w:pPr>
        <w:pStyle w:val="Bibliography"/>
      </w:pPr>
      <w:r>
        <w:t xml:space="preserve">Razavi, Saman, Bryan A. Tolson, and Donald H. Burn. 2012.</w:t>
      </w:r>
      <w:r>
        <w:t xml:space="preserve"> </w:t>
      </w:r>
      <w:r>
        <w:t xml:space="preserve">“Review of Surrogate Modeling in Water Resources.”</w:t>
      </w:r>
      <w:r>
        <w:t xml:space="preserve"> </w:t>
      </w:r>
      <w:r>
        <w:rPr>
          <w:i/>
          <w:iCs/>
        </w:rPr>
        <w:t xml:space="preserve">Water Resources Research</w:t>
      </w:r>
      <w:r>
        <w:t xml:space="preserve"> </w:t>
      </w:r>
      <w:r>
        <w:t xml:space="preserve">48 (7): W07401.</w:t>
      </w:r>
    </w:p>
    <w:bookmarkEnd w:id="128"/>
    <w:bookmarkStart w:id="129" w:name="ref-romano2019cqr"/>
    <w:p>
      <w:pPr>
        <w:pStyle w:val="Bibliography"/>
      </w:pPr>
      <w:r>
        <w:t xml:space="preserve">Romano, Yaniv, Evan Patterson, and Emmanuel Candès. 2019.</w:t>
      </w:r>
      <w:r>
        <w:t xml:space="preserve"> </w:t>
      </w:r>
      <w:r>
        <w:t xml:space="preserve">“Conformalized Quantile Regression.”</w:t>
      </w:r>
      <w:r>
        <w:t xml:space="preserve"> </w:t>
      </w:r>
      <w:r>
        <w:rPr>
          <w:i/>
          <w:iCs/>
        </w:rPr>
        <w:t xml:space="preserve">Advances in Neural Information Processing Systems</w:t>
      </w:r>
      <w:r>
        <w:t xml:space="preserve"> </w:t>
      </w:r>
      <w:r>
        <w:t xml:space="preserve">32: 3538–48.</w:t>
      </w:r>
    </w:p>
    <w:bookmarkEnd w:id="129"/>
    <w:bookmarkStart w:id="130" w:name="ref-salih2023shap"/>
    <w:p>
      <w:pPr>
        <w:pStyle w:val="Bibliography"/>
      </w:pPr>
      <w:r>
        <w:t xml:space="preserve">Salih, Ahmed et al.</w:t>
      </w:r>
      <w:r>
        <w:t xml:space="preserve"> 2023.</w:t>
      </w:r>
      <w:r>
        <w:t xml:space="preserve"> </w:t>
      </w:r>
      <w:r>
        <w:t xml:space="preserve">“A Perspective on Explainable Artificial Intelligence Methods:</w:t>
      </w:r>
      <w:r>
        <w:t xml:space="preserve"> </w:t>
      </w:r>
      <w:r>
        <w:t xml:space="preserve">SHAP</w:t>
      </w:r>
      <w:r>
        <w:t xml:space="preserve"> </w:t>
      </w:r>
      <w:r>
        <w:t xml:space="preserve">and</w:t>
      </w:r>
      <w:r>
        <w:t xml:space="preserve"> </w:t>
      </w:r>
      <w:r>
        <w:t xml:space="preserve">LIME</w:t>
      </w:r>
      <w:r>
        <w:t xml:space="preserve">.”</w:t>
      </w:r>
      <w:r>
        <w:t xml:space="preserve"> </w:t>
      </w:r>
      <w:r>
        <w:rPr>
          <w:i/>
          <w:iCs/>
        </w:rPr>
        <w:t xml:space="preserve">Advanced Intelligent Systems</w:t>
      </w:r>
      <w:r>
        <w:t xml:space="preserve"> </w:t>
      </w:r>
      <w:r>
        <w:t xml:space="preserve">7.</w:t>
      </w:r>
    </w:p>
    <w:bookmarkEnd w:id="130"/>
    <w:bookmarkStart w:id="131" w:name="ref-santner2003design"/>
    <w:p>
      <w:pPr>
        <w:pStyle w:val="Bibliography"/>
      </w:pPr>
      <w:r>
        <w:t xml:space="preserve">Santner, Thomas J., Brian J. Williams, and William I. Notz. 2003.</w:t>
      </w:r>
      <w:r>
        <w:t xml:space="preserve"> </w:t>
      </w:r>
      <w:r>
        <w:rPr>
          <w:i/>
          <w:iCs/>
        </w:rPr>
        <w:t xml:space="preserve">The Design and Analysis of Computer Experiments</w:t>
      </w:r>
      <w:r>
        <w:t xml:space="preserve">. Springer Series in Statistics. Springer.</w:t>
      </w:r>
    </w:p>
    <w:bookmarkEnd w:id="131"/>
    <w:bookmarkStart w:id="132" w:name="ref-simpson2001"/>
    <w:p>
      <w:pPr>
        <w:pStyle w:val="Bibliography"/>
      </w:pPr>
      <w:r>
        <w:t xml:space="preserve">Simpson, Timothy W. et al.</w:t>
      </w:r>
      <w:r>
        <w:t xml:space="preserve"> 2001.</w:t>
      </w:r>
      <w:r>
        <w:t xml:space="preserve"> </w:t>
      </w:r>
      <w:r>
        <w:t xml:space="preserve">“Metamodels for Computer-Based Engineering Design.”</w:t>
      </w:r>
      <w:r>
        <w:t xml:space="preserve"> </w:t>
      </w:r>
      <w:r>
        <w:rPr>
          <w:i/>
          <w:iCs/>
        </w:rPr>
        <w:t xml:space="preserve">Engineering with Computers</w:t>
      </w:r>
      <w:r>
        <w:t xml:space="preserve"> </w:t>
      </w:r>
      <w:r>
        <w:t xml:space="preserve">17 (2): 129–50.</w:t>
      </w:r>
    </w:p>
    <w:bookmarkEnd w:id="132"/>
    <w:bookmarkStart w:id="133" w:name="ref-student1908probable"/>
    <w:p>
      <w:pPr>
        <w:pStyle w:val="Bibliography"/>
      </w:pPr>
      <w:r>
        <w:t xml:space="preserve">Student. 1908.</w:t>
      </w:r>
      <w:r>
        <w:t xml:space="preserve"> </w:t>
      </w:r>
      <w:r>
        <w:t xml:space="preserve">“The Probable Error of a Mean.”</w:t>
      </w:r>
      <w:r>
        <w:t xml:space="preserve"> </w:t>
      </w:r>
      <w:r>
        <w:rPr>
          <w:i/>
          <w:iCs/>
        </w:rPr>
        <w:t xml:space="preserve">Biometrika</w:t>
      </w:r>
      <w:r>
        <w:t xml:space="preserve"> </w:t>
      </w:r>
      <w:r>
        <w:t xml:space="preserve">6 (1): 1–25.</w:t>
      </w:r>
    </w:p>
    <w:bookmarkEnd w:id="133"/>
    <w:bookmarkStart w:id="134" w:name="ref-tibshirani1996lasso"/>
    <w:p>
      <w:pPr>
        <w:pStyle w:val="Bibliography"/>
      </w:pPr>
      <w:r>
        <w:t xml:space="preserve">Tibshirani, Robert. 1996.</w:t>
      </w:r>
      <w:r>
        <w:t xml:space="preserve"> </w:t>
      </w:r>
      <w:r>
        <w:t xml:space="preserve">“Regression Shrinkage and Selection via the Lasso.”</w:t>
      </w:r>
      <w:r>
        <w:t xml:space="preserve"> </w:t>
      </w:r>
      <w:r>
        <w:rPr>
          <w:i/>
          <w:iCs/>
        </w:rPr>
        <w:t xml:space="preserve">Journal of the Royal Statistical Society: Series B</w:t>
      </w:r>
      <w:r>
        <w:t xml:space="preserve"> </w:t>
      </w:r>
      <w:r>
        <w:t xml:space="preserve">58 (1): 267–88.</w:t>
      </w:r>
    </w:p>
    <w:bookmarkEnd w:id="134"/>
    <w:bookmarkStart w:id="135" w:name="ref-Ustun2006"/>
    <w:p>
      <w:pPr>
        <w:pStyle w:val="Bibliography"/>
      </w:pPr>
      <w:r>
        <w:t xml:space="preserve">Ustun, B. et al.</w:t>
      </w:r>
      <w:r>
        <w:t xml:space="preserve"> 2006.</w:t>
      </w:r>
      <w:r>
        <w:t xml:space="preserve"> </w:t>
      </w:r>
      <w:r>
        <w:rPr>
          <w:i/>
          <w:iCs/>
        </w:rPr>
        <w:t xml:space="preserve">Kernel Methods for Surrogate Modeling</w:t>
      </w:r>
      <w:r>
        <w:t xml:space="preserve">.</w:t>
      </w:r>
    </w:p>
    <w:bookmarkEnd w:id="135"/>
    <w:bookmarkStart w:id="136" w:name="ref-vabalas2019"/>
    <w:p>
      <w:pPr>
        <w:pStyle w:val="Bibliography"/>
      </w:pPr>
      <w:r>
        <w:t xml:space="preserve">Vabalas, Arunas et al.</w:t>
      </w:r>
      <w:r>
        <w:t xml:space="preserve"> 2019.</w:t>
      </w:r>
      <w:r>
        <w:t xml:space="preserve"> </w:t>
      </w:r>
      <w:r>
        <w:t xml:space="preserve">“Machine Learning Algorithm Validation with a Limited Sample Size.”</w:t>
      </w:r>
      <w:r>
        <w:t xml:space="preserve"> </w:t>
      </w:r>
      <w:r>
        <w:rPr>
          <w:i/>
          <w:iCs/>
        </w:rPr>
        <w:t xml:space="preserve">PLOS ONE</w:t>
      </w:r>
      <w:r>
        <w:t xml:space="preserve"> </w:t>
      </w:r>
      <w:r>
        <w:t xml:space="preserve">14 (11): e0224365.</w:t>
      </w:r>
    </w:p>
    <w:bookmarkEnd w:id="136"/>
    <w:bookmarkStart w:id="137" w:name="ref-viana2016"/>
    <w:p>
      <w:pPr>
        <w:pStyle w:val="Bibliography"/>
      </w:pPr>
      <w:r>
        <w:t xml:space="preserve">Viana, Francisco A. C. 2016.</w:t>
      </w:r>
      <w:r>
        <w:t xml:space="preserve"> </w:t>
      </w:r>
      <w:r>
        <w:t xml:space="preserve">“A Tutorial on Latin Hypercube Design of Experiments.”</w:t>
      </w:r>
      <w:r>
        <w:t xml:space="preserve"> </w:t>
      </w:r>
      <w:r>
        <w:rPr>
          <w:i/>
          <w:iCs/>
        </w:rPr>
        <w:t xml:space="preserve">Quality and Reliability Engineering International</w:t>
      </w:r>
      <w:r>
        <w:t xml:space="preserve"> </w:t>
      </w:r>
      <w:r>
        <w:t xml:space="preserve">32 (5): 1975–85.</w:t>
      </w:r>
    </w:p>
    <w:bookmarkEnd w:id="137"/>
    <w:bookmarkStart w:id="138" w:name="ref-vovk2005algorithmic"/>
    <w:p>
      <w:pPr>
        <w:pStyle w:val="Bibliography"/>
      </w:pPr>
      <w:r>
        <w:t xml:space="preserve">Vovk, Vladimir, Alex Gammerman, and Glenn Shafer. 2005.</w:t>
      </w:r>
      <w:r>
        <w:t xml:space="preserve"> </w:t>
      </w:r>
      <w:r>
        <w:rPr>
          <w:i/>
          <w:iCs/>
        </w:rPr>
        <w:t xml:space="preserve">Algorithmic Learning in a Random World</w:t>
      </w:r>
      <w:r>
        <w:t xml:space="preserve">. Springer.</w:t>
      </w:r>
    </w:p>
    <w:bookmarkEnd w:id="138"/>
    <w:bookmarkStart w:id="139" w:name="ref-yalsavar2022"/>
    <w:p>
      <w:pPr>
        <w:pStyle w:val="Bibliography"/>
      </w:pPr>
      <w:r>
        <w:t xml:space="preserve">Yalsavar, Arash et al.</w:t>
      </w:r>
      <w:r>
        <w:t xml:space="preserve"> 2022.</w:t>
      </w:r>
      <w:r>
        <w:t xml:space="preserve"> </w:t>
      </w:r>
      <w:r>
        <w:t xml:space="preserve">“Machine Learning Surrogates for Simulation-Based Design.”</w:t>
      </w:r>
      <w:r>
        <w:t xml:space="preserve"> </w:t>
      </w:r>
      <w:r>
        <w:rPr>
          <w:i/>
          <w:iCs/>
        </w:rPr>
        <w:t xml:space="preserve">Applied Sciences</w:t>
      </w:r>
      <w:r>
        <w:t xml:space="preserve">.</w:t>
      </w:r>
    </w:p>
    <w:bookmarkEnd w:id="139"/>
    <w:bookmarkStart w:id="140" w:name="ref-zou2005elasticnet"/>
    <w:p>
      <w:pPr>
        <w:pStyle w:val="Bibliography"/>
      </w:pPr>
      <w:r>
        <w:t xml:space="preserve">Zou, Hui, and Trevor Hastie. 2005.</w:t>
      </w:r>
      <w:r>
        <w:t xml:space="preserve"> </w:t>
      </w:r>
      <w:r>
        <w:t xml:space="preserve">“Regularization and Variable Selection via the Elastic Net.”</w:t>
      </w:r>
      <w:r>
        <w:t xml:space="preserve"> </w:t>
      </w:r>
      <w:r>
        <w:rPr>
          <w:i/>
          <w:iCs/>
        </w:rPr>
        <w:t xml:space="preserve">Journal of the Royal Statistical Society: Series B</w:t>
      </w:r>
      <w:r>
        <w:t xml:space="preserve"> </w:t>
      </w:r>
      <w:r>
        <w:t xml:space="preserve">67 (2): 301–20.</w:t>
      </w:r>
    </w:p>
    <w:bookmarkEnd w:id="140"/>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66" Target="media/rId66.png" /><Relationship Type="http://schemas.openxmlformats.org/officeDocument/2006/relationships/hyperlink" Id="rId79" Target="http://127.0.0.1:8000/UI/index.html" TargetMode="External" /><Relationship Type="http://schemas.openxmlformats.org/officeDocument/2006/relationships/hyperlink" Id="rId99" Target="https://copenhageneconomics.com/publication/ireland-the-impacts-of-brexit/" TargetMode="External" /></Relationships>
</file>

<file path=word/_rels/footnotes.xml.rels><?xml version="1.0" encoding="UTF-8"?><Relationships xmlns="http://schemas.openxmlformats.org/package/2006/relationships"><Relationship Type="http://schemas.openxmlformats.org/officeDocument/2006/relationships/hyperlink" Id="rId79" Target="http://127.0.0.1:8000/UI/index.html" TargetMode="External" /><Relationship Type="http://schemas.openxmlformats.org/officeDocument/2006/relationships/hyperlink" Id="rId99" Target="https://copenhageneconomics.com/publication/ireland-the-impacts-of-brex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Multi-Output Surrogate Modeling Framework for Scenario-Based Maritime and Border Logistics Under Brexit Constraints</dc:title>
  <dc:creator>Sakshi Dhamane Iniyanila Gnanasekar Uthara Prarath Maynooth University, Kildare, Ireland </dc:creator>
  <cp:keywords/>
  <dcterms:created xsi:type="dcterms:W3CDTF">2026-05-18T07:39:09Z</dcterms:created>
  <dcterms:modified xsi:type="dcterms:W3CDTF">2026-05-18T07:39:09Z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example_paper.bib</vt:lpwstr>
  </property>
</Properties>
</file>