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7040" w14:textId="77777777" w:rsidR="002F332F" w:rsidRPr="002F332F" w:rsidRDefault="002F332F" w:rsidP="002F332F">
      <w:pPr>
        <w:pStyle w:val="ListParagraph"/>
        <w:numPr>
          <w:ilvl w:val="0"/>
          <w:numId w:val="14"/>
        </w:numPr>
        <w:spacing w:after="160" w:line="278" w:lineRule="auto"/>
        <w:jc w:val="both"/>
        <w:rPr>
          <w:rFonts w:ascii="Times New Roman" w:hAnsi="Times New Roman" w:cs="Times New Roman"/>
          <w:b/>
          <w:bCs/>
        </w:rPr>
      </w:pPr>
      <w:r w:rsidRPr="002F332F">
        <w:rPr>
          <w:rFonts w:ascii="Times New Roman" w:hAnsi="Times New Roman" w:cs="Times New Roman"/>
          <w:b/>
          <w:bCs/>
        </w:rPr>
        <w:t>ML surrogates replacing simulation in supply chains / logistics</w:t>
      </w:r>
    </w:p>
    <w:p w14:paraId="0BF004C5" w14:textId="77777777" w:rsidR="002F332F" w:rsidRPr="002F332F" w:rsidRDefault="002F332F" w:rsidP="002F332F">
      <w:pPr>
        <w:jc w:val="both"/>
        <w:rPr>
          <w:rFonts w:ascii="Times New Roman" w:hAnsi="Times New Roman" w:cs="Times New Roman"/>
        </w:rPr>
      </w:pPr>
      <w:r w:rsidRPr="002F332F">
        <w:rPr>
          <w:rFonts w:ascii="Times New Roman" w:hAnsi="Times New Roman" w:cs="Times New Roman"/>
        </w:rPr>
        <w:t>Our core premise: replace the AnyLogic DES with millisecond ML inference</w:t>
      </w:r>
    </w:p>
    <w:p w14:paraId="11F3B1EA" w14:textId="77777777" w:rsidR="002F332F" w:rsidRPr="002F332F" w:rsidRDefault="002F332F" w:rsidP="002F332F">
      <w:pPr>
        <w:pStyle w:val="ListParagraph"/>
        <w:numPr>
          <w:ilvl w:val="0"/>
          <w:numId w:val="10"/>
        </w:numPr>
        <w:spacing w:after="160" w:line="278" w:lineRule="auto"/>
        <w:jc w:val="both"/>
        <w:rPr>
          <w:rFonts w:ascii="Times New Roman" w:hAnsi="Times New Roman" w:cs="Times New Roman"/>
        </w:rPr>
      </w:pPr>
      <w:r w:rsidRPr="002F332F">
        <w:rPr>
          <w:rFonts w:ascii="Times New Roman" w:hAnsi="Times New Roman" w:cs="Times New Roman"/>
        </w:rPr>
        <w:t>Greasley (2024) — Coupling simulation and machine learning for predictive analytics in supply chain management, IJPR.</w:t>
      </w:r>
    </w:p>
    <w:p w14:paraId="4CFD2843" w14:textId="77777777" w:rsidR="002F332F" w:rsidRPr="002F332F" w:rsidRDefault="002F332F" w:rsidP="002F332F">
      <w:pPr>
        <w:pStyle w:val="ListParagraph"/>
        <w:ind w:firstLine="720"/>
        <w:jc w:val="both"/>
        <w:rPr>
          <w:rFonts w:ascii="Times New Roman" w:hAnsi="Times New Roman" w:cs="Times New Roman"/>
        </w:rPr>
      </w:pPr>
      <w:r w:rsidRPr="002F332F">
        <w:rPr>
          <w:rFonts w:ascii="Times New Roman" w:hAnsi="Times New Roman" w:cs="Times New Roman"/>
        </w:rPr>
        <w:t>DOI: 10.1080/00207543.2024.2342019</w:t>
      </w:r>
    </w:p>
    <w:p w14:paraId="26FE6C68"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 xml:space="preserve">Why it matters: Closest modern framing: DES produces training data; ML models then run alongside / in place of simulation for predictive analytics. Direct parallel to our AnyLogic → NOLHC → </w:t>
      </w:r>
      <w:proofErr w:type="spellStart"/>
      <w:r w:rsidRPr="002F332F">
        <w:rPr>
          <w:rFonts w:ascii="Times New Roman" w:hAnsi="Times New Roman" w:cs="Times New Roman"/>
        </w:rPr>
        <w:t>FastAPI</w:t>
      </w:r>
      <w:proofErr w:type="spellEnd"/>
      <w:r w:rsidRPr="002F332F">
        <w:rPr>
          <w:rFonts w:ascii="Times New Roman" w:hAnsi="Times New Roman" w:cs="Times New Roman"/>
        </w:rPr>
        <w:t>/UI pipeline.</w:t>
      </w:r>
    </w:p>
    <w:p w14:paraId="09919200" w14:textId="77777777" w:rsidR="002F332F" w:rsidRPr="002F332F" w:rsidRDefault="002F332F" w:rsidP="002F332F">
      <w:pPr>
        <w:pStyle w:val="ListParagraph"/>
        <w:jc w:val="both"/>
        <w:rPr>
          <w:rFonts w:ascii="Times New Roman" w:hAnsi="Times New Roman" w:cs="Times New Roman"/>
        </w:rPr>
      </w:pPr>
    </w:p>
    <w:p w14:paraId="309AB0AA" w14:textId="77777777" w:rsidR="002F332F" w:rsidRPr="002F332F" w:rsidRDefault="002F332F" w:rsidP="002F332F">
      <w:pPr>
        <w:pStyle w:val="ListParagraph"/>
        <w:numPr>
          <w:ilvl w:val="0"/>
          <w:numId w:val="10"/>
        </w:numPr>
        <w:spacing w:after="160" w:line="278" w:lineRule="auto"/>
        <w:jc w:val="both"/>
        <w:rPr>
          <w:rFonts w:ascii="Times New Roman" w:hAnsi="Times New Roman" w:cs="Times New Roman"/>
        </w:rPr>
      </w:pPr>
      <w:r w:rsidRPr="002F332F">
        <w:rPr>
          <w:rFonts w:ascii="Times New Roman" w:hAnsi="Times New Roman" w:cs="Times New Roman"/>
        </w:rPr>
        <w:t xml:space="preserve">Liu &amp; Nishi (2023) — Data-driven evolutionary computation…, Complex &amp; Intelligent Systems 10(1):825–846. </w:t>
      </w:r>
    </w:p>
    <w:p w14:paraId="3978391C" w14:textId="77777777" w:rsidR="002F332F" w:rsidRPr="002F332F" w:rsidRDefault="002F332F" w:rsidP="002F332F">
      <w:pPr>
        <w:pStyle w:val="ListParagraph"/>
        <w:ind w:firstLine="720"/>
        <w:jc w:val="both"/>
        <w:rPr>
          <w:rFonts w:ascii="Times New Roman" w:hAnsi="Times New Roman" w:cs="Times New Roman"/>
        </w:rPr>
      </w:pPr>
      <w:r w:rsidRPr="002F332F">
        <w:rPr>
          <w:rFonts w:ascii="Times New Roman" w:hAnsi="Times New Roman" w:cs="Times New Roman"/>
        </w:rPr>
        <w:t>DOI: 10.1007/s40747-023-01179-0</w:t>
      </w:r>
    </w:p>
    <w:p w14:paraId="5433A85C"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 xml:space="preserve"> Why it matters: Regression surrogates trained on supply-chain simulation outputs to approximate KPIs (cost, service level). Supports our claim that simulation-generated data is a valid supervised-learning source for logistics KPIs.</w:t>
      </w:r>
    </w:p>
    <w:p w14:paraId="5CCEAC4F" w14:textId="77777777" w:rsidR="002F332F" w:rsidRPr="002F332F" w:rsidRDefault="002F332F" w:rsidP="002F332F">
      <w:pPr>
        <w:jc w:val="both"/>
        <w:rPr>
          <w:rFonts w:ascii="Times New Roman" w:hAnsi="Times New Roman" w:cs="Times New Roman"/>
        </w:rPr>
      </w:pPr>
    </w:p>
    <w:p w14:paraId="7FB53933" w14:textId="77777777" w:rsidR="002F332F" w:rsidRPr="002F332F" w:rsidRDefault="002F332F" w:rsidP="002F332F">
      <w:pPr>
        <w:pStyle w:val="ListParagraph"/>
        <w:numPr>
          <w:ilvl w:val="0"/>
          <w:numId w:val="10"/>
        </w:numPr>
        <w:spacing w:after="160" w:line="278" w:lineRule="auto"/>
        <w:jc w:val="both"/>
        <w:rPr>
          <w:rFonts w:ascii="Times New Roman" w:hAnsi="Times New Roman" w:cs="Times New Roman"/>
        </w:rPr>
      </w:pPr>
      <w:r w:rsidRPr="002F332F">
        <w:rPr>
          <w:rFonts w:ascii="Times New Roman" w:hAnsi="Times New Roman" w:cs="Times New Roman"/>
        </w:rPr>
        <w:t>Liu &amp; Nishi (2023) — Surrogate-assisted evolutionary optimization for perishable inventory…, ESWA 238:122179.</w:t>
      </w:r>
    </w:p>
    <w:p w14:paraId="666045F2" w14:textId="77777777" w:rsidR="002F332F" w:rsidRPr="002F332F" w:rsidRDefault="002F332F" w:rsidP="002F332F">
      <w:pPr>
        <w:pStyle w:val="ListParagraph"/>
        <w:ind w:left="1440"/>
        <w:jc w:val="both"/>
        <w:rPr>
          <w:rFonts w:ascii="Times New Roman" w:hAnsi="Times New Roman" w:cs="Times New Roman"/>
        </w:rPr>
      </w:pPr>
      <w:r w:rsidRPr="002F332F">
        <w:rPr>
          <w:rFonts w:ascii="Times New Roman" w:hAnsi="Times New Roman" w:cs="Times New Roman"/>
        </w:rPr>
        <w:t>DOI: 10.1016/j.eswa.2023.122179</w:t>
      </w:r>
    </w:p>
    <w:p w14:paraId="16684ED3"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 xml:space="preserve">Why it matters: Surrogates used to avoid repeated expensive simulation evaluations during </w:t>
      </w:r>
      <w:proofErr w:type="spellStart"/>
      <w:r w:rsidRPr="002F332F">
        <w:rPr>
          <w:rFonts w:ascii="Times New Roman" w:hAnsi="Times New Roman" w:cs="Times New Roman"/>
        </w:rPr>
        <w:t>optimisation</w:t>
      </w:r>
      <w:proofErr w:type="spellEnd"/>
      <w:r w:rsidRPr="002F332F">
        <w:rPr>
          <w:rFonts w:ascii="Times New Roman" w:hAnsi="Times New Roman" w:cs="Times New Roman"/>
        </w:rPr>
        <w:t xml:space="preserve"> — same computational motivation as our “millisecond inference instead of DES API calls.”</w:t>
      </w:r>
    </w:p>
    <w:p w14:paraId="3AA4BC6F" w14:textId="77777777" w:rsidR="002F332F" w:rsidRPr="002F332F" w:rsidRDefault="002F332F" w:rsidP="002F332F">
      <w:pPr>
        <w:pStyle w:val="ListParagraph"/>
        <w:jc w:val="both"/>
        <w:rPr>
          <w:rFonts w:ascii="Times New Roman" w:hAnsi="Times New Roman" w:cs="Times New Roman"/>
        </w:rPr>
      </w:pPr>
    </w:p>
    <w:p w14:paraId="5CDDC89D" w14:textId="77777777" w:rsidR="002F332F" w:rsidRPr="002F332F" w:rsidRDefault="002F332F" w:rsidP="002F332F">
      <w:pPr>
        <w:pStyle w:val="ListParagraph"/>
        <w:numPr>
          <w:ilvl w:val="0"/>
          <w:numId w:val="10"/>
        </w:numPr>
        <w:spacing w:after="160" w:line="278" w:lineRule="auto"/>
        <w:jc w:val="both"/>
        <w:rPr>
          <w:rFonts w:ascii="Times New Roman" w:hAnsi="Times New Roman" w:cs="Times New Roman"/>
        </w:rPr>
      </w:pPr>
      <w:r w:rsidRPr="002F332F">
        <w:rPr>
          <w:rFonts w:ascii="Times New Roman" w:hAnsi="Times New Roman" w:cs="Times New Roman"/>
        </w:rPr>
        <w:t xml:space="preserve">He, Yon, Gong &amp; Ji (2023) — A review of surrogate-assisted evolutionary algorithms…, ESWA 217:119495. </w:t>
      </w:r>
    </w:p>
    <w:p w14:paraId="43660427" w14:textId="77777777" w:rsidR="002F332F" w:rsidRPr="002F332F" w:rsidRDefault="002F332F" w:rsidP="002F332F">
      <w:pPr>
        <w:ind w:left="720" w:firstLine="720"/>
        <w:jc w:val="both"/>
        <w:rPr>
          <w:rFonts w:ascii="Times New Roman" w:hAnsi="Times New Roman" w:cs="Times New Roman"/>
        </w:rPr>
      </w:pPr>
      <w:r w:rsidRPr="002F332F">
        <w:rPr>
          <w:rFonts w:ascii="Times New Roman" w:hAnsi="Times New Roman" w:cs="Times New Roman"/>
        </w:rPr>
        <w:t>DOI: 10.1016/j.eswa.2022.119495</w:t>
      </w:r>
    </w:p>
    <w:p w14:paraId="3BBA3332"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Broad SOTA review of surrogate-assisted methods for expensive black-box problems. Useful to open the section and position our work inside the wider surrogate literature.</w:t>
      </w:r>
    </w:p>
    <w:p w14:paraId="714AD5A2" w14:textId="77777777" w:rsidR="002F332F" w:rsidRPr="002F332F" w:rsidRDefault="002F332F" w:rsidP="002F332F">
      <w:pPr>
        <w:pStyle w:val="ListParagraph"/>
        <w:numPr>
          <w:ilvl w:val="0"/>
          <w:numId w:val="10"/>
        </w:numPr>
        <w:spacing w:after="160" w:line="278" w:lineRule="auto"/>
        <w:jc w:val="both"/>
        <w:rPr>
          <w:rFonts w:ascii="Times New Roman" w:hAnsi="Times New Roman" w:cs="Times New Roman"/>
        </w:rPr>
      </w:pPr>
      <w:r w:rsidRPr="002F332F">
        <w:rPr>
          <w:rFonts w:ascii="Times New Roman" w:hAnsi="Times New Roman" w:cs="Times New Roman"/>
        </w:rPr>
        <w:t xml:space="preserve">Wan, Pekny &amp; </w:t>
      </w:r>
      <w:proofErr w:type="spellStart"/>
      <w:r w:rsidRPr="002F332F">
        <w:rPr>
          <w:rFonts w:ascii="Times New Roman" w:hAnsi="Times New Roman" w:cs="Times New Roman"/>
        </w:rPr>
        <w:t>Reklaitis</w:t>
      </w:r>
      <w:proofErr w:type="spellEnd"/>
      <w:r w:rsidRPr="002F332F">
        <w:rPr>
          <w:rFonts w:ascii="Times New Roman" w:hAnsi="Times New Roman" w:cs="Times New Roman"/>
        </w:rPr>
        <w:t xml:space="preserve"> (2005) — Simulation-based optimization with surrogate models…, Computers &amp; Chemical Engineering 29(6):1317–1328</w:t>
      </w:r>
    </w:p>
    <w:p w14:paraId="5EF2AB33"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Why it matters: Classic anchor (even though older): iteratively accumulated simulation runs → surrogate replaces individual runs. Shows the idea is established, not ad hoc. Keep as historical foundation; lead with 2023–2024 papers for “recent SOTA.”</w:t>
      </w:r>
    </w:p>
    <w:p w14:paraId="1E9EAD67" w14:textId="77777777" w:rsidR="002F332F" w:rsidRPr="002F332F" w:rsidRDefault="002F332F" w:rsidP="002F332F">
      <w:pPr>
        <w:jc w:val="both"/>
        <w:rPr>
          <w:rFonts w:ascii="Times New Roman" w:hAnsi="Times New Roman" w:cs="Times New Roman"/>
        </w:rPr>
      </w:pPr>
      <w:r w:rsidRPr="002F332F">
        <w:rPr>
          <w:rFonts w:ascii="Times New Roman" w:hAnsi="Times New Roman" w:cs="Times New Roman"/>
        </w:rPr>
        <w:tab/>
      </w:r>
      <w:r w:rsidRPr="002F332F">
        <w:rPr>
          <w:rFonts w:ascii="Times New Roman" w:hAnsi="Times New Roman" w:cs="Times New Roman"/>
          <w:b/>
          <w:bCs/>
        </w:rPr>
        <w:t xml:space="preserve"> </w:t>
      </w:r>
    </w:p>
    <w:p w14:paraId="486F1525" w14:textId="77777777" w:rsidR="002F332F" w:rsidRPr="002F332F" w:rsidRDefault="002F332F" w:rsidP="002F332F">
      <w:pPr>
        <w:jc w:val="both"/>
        <w:rPr>
          <w:rFonts w:ascii="Times New Roman" w:hAnsi="Times New Roman" w:cs="Times New Roman"/>
        </w:rPr>
      </w:pPr>
      <w:r w:rsidRPr="002F332F">
        <w:rPr>
          <w:rFonts w:ascii="Times New Roman" w:hAnsi="Times New Roman" w:cs="Times New Roman"/>
        </w:rPr>
        <w:t xml:space="preserve">Sample Paragraph : Discrete-event simulation remains the gold-standard engine for post-Brexit </w:t>
      </w:r>
      <w:proofErr w:type="spellStart"/>
      <w:r w:rsidRPr="002F332F">
        <w:rPr>
          <w:rFonts w:ascii="Times New Roman" w:hAnsi="Times New Roman" w:cs="Times New Roman"/>
        </w:rPr>
        <w:t>RoRo</w:t>
      </w:r>
      <w:proofErr w:type="spellEnd"/>
      <w:r w:rsidRPr="002F332F">
        <w:rPr>
          <w:rFonts w:ascii="Times New Roman" w:hAnsi="Times New Roman" w:cs="Times New Roman"/>
        </w:rPr>
        <w:t xml:space="preserve"> logistics analysis, but interactive scenario exploration is constrained by run time, API cost, and the large number of exposed parameters. A long-standing response is to treat expensive </w:t>
      </w:r>
      <w:r w:rsidRPr="002F332F">
        <w:rPr>
          <w:rFonts w:ascii="Times New Roman" w:hAnsi="Times New Roman" w:cs="Times New Roman"/>
        </w:rPr>
        <w:lastRenderedPageBreak/>
        <w:t xml:space="preserve">simulation evaluations as a labelled design dataset and replace subsequent runs with a fast statistical or machine-learning surrogate (Wan et al., 2005). Recent work confirms that this sim–ML coupling is now operational in supply-chain settings: Greasley (2024) shows how DES can generate training data for predictive models that run alongside or in place of the simulator, while Liu and Nishi (2023a, 2023b) train regression surrogates on multi-echelon inventory simulations to approximate cost and service KPIs without repeated full-system evaluations. Broader reviews of surrogate-assisted methods for expensive black-box problems likewise </w:t>
      </w:r>
      <w:proofErr w:type="spellStart"/>
      <w:r w:rsidRPr="002F332F">
        <w:rPr>
          <w:rFonts w:ascii="Times New Roman" w:hAnsi="Times New Roman" w:cs="Times New Roman"/>
        </w:rPr>
        <w:t>emphasise</w:t>
      </w:r>
      <w:proofErr w:type="spellEnd"/>
      <w:r w:rsidRPr="002F332F">
        <w:rPr>
          <w:rFonts w:ascii="Times New Roman" w:hAnsi="Times New Roman" w:cs="Times New Roman"/>
        </w:rPr>
        <w:t xml:space="preserve"> accuracy–cost trade-offs under limited evaluation budgets (He et al., 2023). Building on this line of work, we construct multi-output ML surrogates from a 129-run Nearly Orthogonal Latin Hypercube (NOLHC) of an AnyLogic </w:t>
      </w:r>
      <w:proofErr w:type="spellStart"/>
      <w:r w:rsidRPr="002F332F">
        <w:rPr>
          <w:rFonts w:ascii="Times New Roman" w:hAnsi="Times New Roman" w:cs="Times New Roman"/>
        </w:rPr>
        <w:t>RoRo</w:t>
      </w:r>
      <w:proofErr w:type="spellEnd"/>
      <w:r w:rsidRPr="002F332F">
        <w:rPr>
          <w:rFonts w:ascii="Times New Roman" w:hAnsi="Times New Roman" w:cs="Times New Roman"/>
        </w:rPr>
        <w:t xml:space="preserve"> model (d=35d=35, K=20K=20</w:t>
      </w:r>
      <w:proofErr w:type="gramStart"/>
      <w:r w:rsidRPr="002F332F">
        <w:rPr>
          <w:rFonts w:ascii="Times New Roman" w:hAnsi="Times New Roman" w:cs="Times New Roman"/>
        </w:rPr>
        <w:t>), and</w:t>
      </w:r>
      <w:proofErr w:type="gramEnd"/>
      <w:r w:rsidRPr="002F332F">
        <w:rPr>
          <w:rFonts w:ascii="Times New Roman" w:hAnsi="Times New Roman" w:cs="Times New Roman"/>
        </w:rPr>
        <w:t xml:space="preserve"> deploy them for millisecond KPI prediction in a human-on-the-loop decision UI. Unlike most prior logistics surrogates that target a single performance measure or an </w:t>
      </w:r>
      <w:proofErr w:type="spellStart"/>
      <w:r w:rsidRPr="002F332F">
        <w:rPr>
          <w:rFonts w:ascii="Times New Roman" w:hAnsi="Times New Roman" w:cs="Times New Roman"/>
        </w:rPr>
        <w:t>optimiser</w:t>
      </w:r>
      <w:proofErr w:type="spellEnd"/>
      <w:r w:rsidRPr="002F332F">
        <w:rPr>
          <w:rFonts w:ascii="Times New Roman" w:hAnsi="Times New Roman" w:cs="Times New Roman"/>
        </w:rPr>
        <w:t>-in-the-loop setting, our engine performs per-target model selection across 19 candidate families plus a stacking challenger, registering the CV-best predictor for each KPI.</w:t>
      </w:r>
    </w:p>
    <w:p w14:paraId="688B0647" w14:textId="77777777" w:rsidR="002F332F" w:rsidRPr="002F332F" w:rsidRDefault="002F332F" w:rsidP="002F332F">
      <w:pPr>
        <w:pStyle w:val="ListParagraph"/>
        <w:numPr>
          <w:ilvl w:val="0"/>
          <w:numId w:val="14"/>
        </w:numPr>
        <w:spacing w:after="160" w:line="278" w:lineRule="auto"/>
        <w:jc w:val="both"/>
        <w:rPr>
          <w:rFonts w:ascii="Times New Roman" w:hAnsi="Times New Roman" w:cs="Times New Roman"/>
          <w:b/>
          <w:bCs/>
        </w:rPr>
      </w:pPr>
      <w:r w:rsidRPr="002F332F">
        <w:rPr>
          <w:rFonts w:ascii="Times New Roman" w:hAnsi="Times New Roman" w:cs="Times New Roman"/>
          <w:b/>
          <w:bCs/>
        </w:rPr>
        <w:t xml:space="preserve">LHS-designed experiments + comparing many </w:t>
      </w:r>
      <w:proofErr w:type="gramStart"/>
      <w:r w:rsidRPr="002F332F">
        <w:rPr>
          <w:rFonts w:ascii="Times New Roman" w:hAnsi="Times New Roman" w:cs="Times New Roman"/>
          <w:b/>
          <w:bCs/>
        </w:rPr>
        <w:t>surrogate</w:t>
      </w:r>
      <w:proofErr w:type="gramEnd"/>
      <w:r w:rsidRPr="002F332F">
        <w:rPr>
          <w:rFonts w:ascii="Times New Roman" w:hAnsi="Times New Roman" w:cs="Times New Roman"/>
          <w:b/>
          <w:bCs/>
        </w:rPr>
        <w:t xml:space="preserve"> families</w:t>
      </w:r>
    </w:p>
    <w:p w14:paraId="387CC9D4" w14:textId="77777777" w:rsidR="002F332F" w:rsidRPr="002F332F" w:rsidRDefault="002F332F" w:rsidP="002F332F">
      <w:pPr>
        <w:jc w:val="both"/>
        <w:rPr>
          <w:rFonts w:ascii="Times New Roman" w:hAnsi="Times New Roman" w:cs="Times New Roman"/>
        </w:rPr>
      </w:pPr>
      <w:r w:rsidRPr="002F332F">
        <w:rPr>
          <w:rFonts w:ascii="Times New Roman" w:hAnsi="Times New Roman" w:cs="Times New Roman"/>
        </w:rPr>
        <w:t>our 129-run NOLHC + 19-model benchmark; the “no single algorithm wins” argument.</w:t>
      </w:r>
    </w:p>
    <w:p w14:paraId="2657A368" w14:textId="77777777" w:rsidR="002F332F" w:rsidRPr="002F332F" w:rsidRDefault="002F332F" w:rsidP="002F332F">
      <w:pPr>
        <w:jc w:val="both"/>
        <w:rPr>
          <w:rFonts w:ascii="Times New Roman" w:hAnsi="Times New Roman" w:cs="Times New Roman"/>
          <w:b/>
          <w:bCs/>
        </w:rPr>
      </w:pPr>
      <w:r w:rsidRPr="002F332F">
        <w:rPr>
          <w:rFonts w:ascii="Times New Roman" w:hAnsi="Times New Roman" w:cs="Times New Roman"/>
          <w:b/>
          <w:bCs/>
        </w:rPr>
        <w:t>Why this theme matters for our engine</w:t>
      </w:r>
    </w:p>
    <w:p w14:paraId="0B249B03" w14:textId="77777777" w:rsidR="002F332F" w:rsidRPr="002F332F" w:rsidRDefault="002F332F" w:rsidP="002F332F">
      <w:pPr>
        <w:jc w:val="both"/>
        <w:rPr>
          <w:rFonts w:ascii="Times New Roman" w:hAnsi="Times New Roman" w:cs="Times New Roman"/>
        </w:rPr>
      </w:pPr>
      <w:r w:rsidRPr="002F332F">
        <w:rPr>
          <w:rFonts w:ascii="Times New Roman" w:hAnsi="Times New Roman" w:cs="Times New Roman"/>
        </w:rPr>
        <w:t>Our training data is not a random scrape of historical operations. It is a designed computer experiment: a Nearly Orthogonal Latin Hypercube (NOLHC) of 129 runs over 35 inputs, then many surrogate families are compared per KPI. The literature must justify two claims:</w:t>
      </w:r>
    </w:p>
    <w:p w14:paraId="165B677B" w14:textId="77777777" w:rsidR="002F332F" w:rsidRPr="002F332F" w:rsidRDefault="002F332F" w:rsidP="002F332F">
      <w:pPr>
        <w:pStyle w:val="ListParagraph"/>
        <w:numPr>
          <w:ilvl w:val="0"/>
          <w:numId w:val="11"/>
        </w:numPr>
        <w:spacing w:after="160" w:line="278" w:lineRule="auto"/>
        <w:jc w:val="both"/>
        <w:rPr>
          <w:rFonts w:ascii="Times New Roman" w:hAnsi="Times New Roman" w:cs="Times New Roman"/>
        </w:rPr>
      </w:pPr>
      <w:r w:rsidRPr="002F332F">
        <w:rPr>
          <w:rFonts w:ascii="Times New Roman" w:hAnsi="Times New Roman" w:cs="Times New Roman"/>
        </w:rPr>
        <w:t>Space-filling / nearly orthogonal LHS is the right way to generate small-n simulation training sets.</w:t>
      </w:r>
    </w:p>
    <w:p w14:paraId="4B9DA5A9" w14:textId="77777777" w:rsidR="002F332F" w:rsidRPr="002F332F" w:rsidRDefault="002F332F" w:rsidP="002F332F">
      <w:pPr>
        <w:pStyle w:val="ListParagraph"/>
        <w:numPr>
          <w:ilvl w:val="0"/>
          <w:numId w:val="11"/>
        </w:numPr>
        <w:spacing w:after="160" w:line="278" w:lineRule="auto"/>
        <w:jc w:val="both"/>
        <w:rPr>
          <w:rFonts w:ascii="Times New Roman" w:hAnsi="Times New Roman" w:cs="Times New Roman"/>
        </w:rPr>
      </w:pPr>
      <w:r w:rsidRPr="002F332F">
        <w:rPr>
          <w:rFonts w:ascii="Times New Roman" w:hAnsi="Times New Roman" w:cs="Times New Roman"/>
        </w:rPr>
        <w:t>No single surrogate family dominates across responses and sample sizes — so per-target benchmarking (our 19 models) is scientifically warranted.</w:t>
      </w:r>
    </w:p>
    <w:p w14:paraId="79E92546" w14:textId="77777777" w:rsidR="002F332F" w:rsidRPr="002F332F" w:rsidRDefault="002F332F" w:rsidP="002F332F">
      <w:pPr>
        <w:jc w:val="both"/>
        <w:rPr>
          <w:rFonts w:ascii="Times New Roman" w:hAnsi="Times New Roman" w:cs="Times New Roman"/>
          <w:b/>
          <w:bCs/>
        </w:rPr>
      </w:pPr>
      <w:r w:rsidRPr="002F332F">
        <w:rPr>
          <w:rFonts w:ascii="Times New Roman" w:hAnsi="Times New Roman" w:cs="Times New Roman"/>
          <w:b/>
          <w:bCs/>
        </w:rPr>
        <w:t>Foundational Papers</w:t>
      </w:r>
    </w:p>
    <w:p w14:paraId="0047E951"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Williams &amp; Cremaschi (2021) — Selection of surrogate modeling techniques…, Chem. Eng. Res. Des. 170:76–89. </w:t>
      </w:r>
    </w:p>
    <w:p w14:paraId="61CE77B4" w14:textId="77777777" w:rsidR="002F332F" w:rsidRPr="002F332F" w:rsidRDefault="002F332F" w:rsidP="002F332F">
      <w:pPr>
        <w:pStyle w:val="ListParagraph"/>
        <w:ind w:firstLine="720"/>
        <w:jc w:val="both"/>
        <w:rPr>
          <w:rFonts w:ascii="Times New Roman" w:hAnsi="Times New Roman" w:cs="Times New Roman"/>
        </w:rPr>
      </w:pPr>
      <w:r w:rsidRPr="002F332F">
        <w:rPr>
          <w:rFonts w:ascii="Times New Roman" w:hAnsi="Times New Roman" w:cs="Times New Roman"/>
        </w:rPr>
        <w:t>DOI: 10.1016/j.cherd.2021.03.028</w:t>
      </w:r>
    </w:p>
    <w:p w14:paraId="48D325D5"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Benchmarks 8 families; winner depends on dataset traits and sample size — the clearest justification for per-target selection.</w:t>
      </w:r>
    </w:p>
    <w:p w14:paraId="675F44C0"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proofErr w:type="spellStart"/>
      <w:r w:rsidRPr="002F332F">
        <w:rPr>
          <w:rFonts w:ascii="Times New Roman" w:hAnsi="Times New Roman" w:cs="Times New Roman"/>
        </w:rPr>
        <w:t>Amouzgar</w:t>
      </w:r>
      <w:proofErr w:type="spellEnd"/>
      <w:r w:rsidRPr="002F332F">
        <w:rPr>
          <w:rFonts w:ascii="Times New Roman" w:hAnsi="Times New Roman" w:cs="Times New Roman"/>
        </w:rPr>
        <w:t xml:space="preserve"> et al. (2019) — Comparative study of metamodeling and sampling design…, SIMULATION. </w:t>
      </w:r>
    </w:p>
    <w:p w14:paraId="4CDD7AED" w14:textId="77777777" w:rsidR="002F332F" w:rsidRPr="002F332F" w:rsidRDefault="002F332F" w:rsidP="002F332F">
      <w:pPr>
        <w:ind w:left="1440"/>
        <w:jc w:val="both"/>
        <w:rPr>
          <w:rFonts w:ascii="Times New Roman" w:hAnsi="Times New Roman" w:cs="Times New Roman"/>
        </w:rPr>
      </w:pPr>
      <w:r w:rsidRPr="002F332F">
        <w:rPr>
          <w:rFonts w:ascii="Times New Roman" w:hAnsi="Times New Roman" w:cs="Times New Roman"/>
        </w:rPr>
        <w:t>DOI: 10.1177/0037549719846988</w:t>
      </w:r>
    </w:p>
    <w:p w14:paraId="67C1B5A1"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Polynomial / kriging / RBF × LHS variants at small vs large n — sampling method + sample size jointly affect accuracy.</w:t>
      </w:r>
    </w:p>
    <w:p w14:paraId="0D61D209"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lastRenderedPageBreak/>
        <w:t>Østergård, Jensen &amp; Maagaard (2018) — A comparison of six metamodeling techniques…, Applied Energy 211:89–103</w:t>
      </w:r>
    </w:p>
    <w:p w14:paraId="7CC35000"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Why it matters: LHS + multi-model comparison on simulation outputs; often cited for GPR/ensembles on small simulation data.</w:t>
      </w:r>
    </w:p>
    <w:p w14:paraId="6BE0FAB2"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Villa-</w:t>
      </w:r>
      <w:proofErr w:type="spellStart"/>
      <w:r w:rsidRPr="002F332F">
        <w:rPr>
          <w:rFonts w:ascii="Times New Roman" w:hAnsi="Times New Roman" w:cs="Times New Roman"/>
        </w:rPr>
        <w:t>Vialaneix</w:t>
      </w:r>
      <w:proofErr w:type="spellEnd"/>
      <w:r w:rsidRPr="002F332F">
        <w:rPr>
          <w:rFonts w:ascii="Times New Roman" w:hAnsi="Times New Roman" w:cs="Times New Roman"/>
        </w:rPr>
        <w:t xml:space="preserve"> et al. (2012) — A comparison of eight metamodeling techniques…, Env. Model. </w:t>
      </w:r>
      <w:proofErr w:type="spellStart"/>
      <w:r w:rsidRPr="002F332F">
        <w:rPr>
          <w:rFonts w:ascii="Times New Roman" w:hAnsi="Times New Roman" w:cs="Times New Roman"/>
        </w:rPr>
        <w:t>Softw</w:t>
      </w:r>
      <w:proofErr w:type="spellEnd"/>
      <w:r w:rsidRPr="002F332F">
        <w:rPr>
          <w:rFonts w:ascii="Times New Roman" w:hAnsi="Times New Roman" w:cs="Times New Roman"/>
        </w:rPr>
        <w:t>. 34:51–66</w:t>
      </w:r>
    </w:p>
    <w:p w14:paraId="30FE71AE"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Why it matters: Classic “many models × many simulation targets” study — closest in spirit to multi-KPI metamodeling.</w:t>
      </w:r>
    </w:p>
    <w:p w14:paraId="2C5BF328" w14:textId="77777777" w:rsidR="002F332F" w:rsidRPr="002F332F" w:rsidRDefault="002F332F" w:rsidP="002F332F">
      <w:pPr>
        <w:jc w:val="both"/>
        <w:rPr>
          <w:rFonts w:ascii="Times New Roman" w:hAnsi="Times New Roman" w:cs="Times New Roman"/>
          <w:b/>
          <w:bCs/>
        </w:rPr>
      </w:pPr>
      <w:r w:rsidRPr="002F332F">
        <w:rPr>
          <w:rFonts w:ascii="Times New Roman" w:hAnsi="Times New Roman" w:cs="Times New Roman"/>
          <w:b/>
          <w:bCs/>
        </w:rPr>
        <w:t>Latest peer-reviewed / recent SOTA (2023–present)</w:t>
      </w:r>
    </w:p>
    <w:p w14:paraId="5E8C224A" w14:textId="77777777" w:rsidR="002F332F" w:rsidRPr="002F332F" w:rsidRDefault="002F332F" w:rsidP="002F332F">
      <w:pPr>
        <w:pStyle w:val="ListParagraph"/>
        <w:numPr>
          <w:ilvl w:val="0"/>
          <w:numId w:val="13"/>
        </w:numPr>
        <w:spacing w:after="160" w:line="278" w:lineRule="auto"/>
        <w:jc w:val="both"/>
        <w:rPr>
          <w:rFonts w:ascii="Times New Roman" w:hAnsi="Times New Roman" w:cs="Times New Roman"/>
        </w:rPr>
      </w:pPr>
      <w:r w:rsidRPr="002F332F">
        <w:rPr>
          <w:rFonts w:ascii="Times New Roman" w:hAnsi="Times New Roman" w:cs="Times New Roman"/>
        </w:rPr>
        <w:t>“No single emulator wins” — strongest recent support for our 19-model design</w:t>
      </w:r>
    </w:p>
    <w:p w14:paraId="410C6C24" w14:textId="77777777" w:rsidR="002F332F" w:rsidRPr="002F332F" w:rsidRDefault="002F332F" w:rsidP="002F332F">
      <w:pPr>
        <w:pStyle w:val="ListParagraph"/>
        <w:jc w:val="both"/>
        <w:rPr>
          <w:rFonts w:ascii="Times New Roman" w:hAnsi="Times New Roman" w:cs="Times New Roman"/>
        </w:rPr>
      </w:pPr>
    </w:p>
    <w:p w14:paraId="149D7334"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Rumsey, Gibson, Francom &amp; Morris (2025) — All Emulators are Wrong, </w:t>
      </w:r>
      <w:proofErr w:type="gramStart"/>
      <w:r w:rsidRPr="002F332F">
        <w:rPr>
          <w:rFonts w:ascii="Times New Roman" w:hAnsi="Times New Roman" w:cs="Times New Roman"/>
        </w:rPr>
        <w:t>Many</w:t>
      </w:r>
      <w:proofErr w:type="gramEnd"/>
      <w:r w:rsidRPr="002F332F">
        <w:rPr>
          <w:rFonts w:ascii="Times New Roman" w:hAnsi="Times New Roman" w:cs="Times New Roman"/>
        </w:rPr>
        <w:t xml:space="preserve"> are Useful, and Some are More Useful Than Others… arXiv:2512.09060</w:t>
      </w:r>
    </w:p>
    <w:p w14:paraId="7759485C"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 xml:space="preserve">Why it matters: Large-scale comparison of ~29–32 emulators on 60 test functions + 40 real datasets. Finds that most emulators win on at least one scenario — the modern statement of “no universal winner.” Flag as preprint unless/until </w:t>
      </w:r>
      <w:proofErr w:type="spellStart"/>
      <w:r w:rsidRPr="002F332F">
        <w:rPr>
          <w:rFonts w:ascii="Times New Roman" w:hAnsi="Times New Roman" w:cs="Times New Roman"/>
        </w:rPr>
        <w:t>journalised</w:t>
      </w:r>
      <w:proofErr w:type="spellEnd"/>
      <w:r w:rsidRPr="002F332F">
        <w:rPr>
          <w:rFonts w:ascii="Times New Roman" w:hAnsi="Times New Roman" w:cs="Times New Roman"/>
        </w:rPr>
        <w:t>; still the best current evidence for multi-family benchmarking.</w:t>
      </w:r>
    </w:p>
    <w:p w14:paraId="3739F3A6"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IOP Conf. Series (2023) — Research on Applicability and Efficient Construction with Typical Surrogate Models, J. Phys.: Conf. Ser. 2449:012009. </w:t>
      </w:r>
    </w:p>
    <w:p w14:paraId="4544F54E" w14:textId="77777777" w:rsidR="002F332F" w:rsidRPr="002F332F" w:rsidRDefault="002F332F" w:rsidP="002F332F">
      <w:pPr>
        <w:ind w:left="1440"/>
        <w:jc w:val="both"/>
        <w:rPr>
          <w:rFonts w:ascii="Times New Roman" w:hAnsi="Times New Roman" w:cs="Times New Roman"/>
        </w:rPr>
      </w:pPr>
      <w:r w:rsidRPr="002F332F">
        <w:rPr>
          <w:rFonts w:ascii="Times New Roman" w:hAnsi="Times New Roman" w:cs="Times New Roman"/>
        </w:rPr>
        <w:t>DOI: 10.1088/1742-6596/2449/1/012009</w:t>
      </w:r>
    </w:p>
    <w:p w14:paraId="01838E8D"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Compares PRS, RBF, GP, NN, SVR under varying DOE sample sizes with R²/RMSE/MAE — concludes applicability is problem- and sample-size dependent.</w:t>
      </w:r>
    </w:p>
    <w:p w14:paraId="2F006934"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Stevanović et al. (2024) — Comparison of ANN and </w:t>
      </w:r>
      <w:proofErr w:type="spellStart"/>
      <w:r w:rsidRPr="002F332F">
        <w:rPr>
          <w:rFonts w:ascii="Times New Roman" w:hAnsi="Times New Roman" w:cs="Times New Roman"/>
        </w:rPr>
        <w:t>XGBoost</w:t>
      </w:r>
      <w:proofErr w:type="spellEnd"/>
      <w:r w:rsidRPr="002F332F">
        <w:rPr>
          <w:rFonts w:ascii="Times New Roman" w:hAnsi="Times New Roman" w:cs="Times New Roman"/>
        </w:rPr>
        <w:t xml:space="preserve"> surrogate models trained on small numbers of building energy simulations, </w:t>
      </w:r>
      <w:proofErr w:type="spellStart"/>
      <w:r w:rsidRPr="002F332F">
        <w:rPr>
          <w:rFonts w:ascii="Times New Roman" w:hAnsi="Times New Roman" w:cs="Times New Roman"/>
        </w:rPr>
        <w:t>PLoS</w:t>
      </w:r>
      <w:proofErr w:type="spellEnd"/>
      <w:r w:rsidRPr="002F332F">
        <w:rPr>
          <w:rFonts w:ascii="Times New Roman" w:hAnsi="Times New Roman" w:cs="Times New Roman"/>
        </w:rPr>
        <w:t xml:space="preserve"> ONE 19(10):e0312573.</w:t>
      </w:r>
    </w:p>
    <w:p w14:paraId="3DD0A94A" w14:textId="77777777" w:rsidR="002F332F" w:rsidRPr="002F332F" w:rsidRDefault="002F332F" w:rsidP="002F332F">
      <w:pPr>
        <w:ind w:left="720" w:firstLine="720"/>
        <w:jc w:val="both"/>
        <w:rPr>
          <w:rFonts w:ascii="Times New Roman" w:hAnsi="Times New Roman" w:cs="Times New Roman"/>
        </w:rPr>
      </w:pPr>
      <w:r w:rsidRPr="002F332F">
        <w:rPr>
          <w:rFonts w:ascii="Times New Roman" w:hAnsi="Times New Roman" w:cs="Times New Roman"/>
        </w:rPr>
        <w:t>DOI: 10.1371/journal.pone.0312573</w:t>
      </w:r>
    </w:p>
    <w:p w14:paraId="08FB401C"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 xml:space="preserve">Why it matters: Small-n (10–100 sims) + LHS vs alternative sampling + ANN vs </w:t>
      </w:r>
      <w:proofErr w:type="spellStart"/>
      <w:r w:rsidRPr="002F332F">
        <w:rPr>
          <w:rFonts w:ascii="Times New Roman" w:hAnsi="Times New Roman" w:cs="Times New Roman"/>
        </w:rPr>
        <w:t>XGBoost</w:t>
      </w:r>
      <w:proofErr w:type="spellEnd"/>
      <w:r w:rsidRPr="002F332F">
        <w:rPr>
          <w:rFonts w:ascii="Times New Roman" w:hAnsi="Times New Roman" w:cs="Times New Roman"/>
        </w:rPr>
        <w:t xml:space="preserve">; winner and sampling method both </w:t>
      </w:r>
      <w:proofErr w:type="gramStart"/>
      <w:r w:rsidRPr="002F332F">
        <w:rPr>
          <w:rFonts w:ascii="Times New Roman" w:hAnsi="Times New Roman" w:cs="Times New Roman"/>
        </w:rPr>
        <w:t>matter</w:t>
      </w:r>
      <w:proofErr w:type="gramEnd"/>
      <w:r w:rsidRPr="002F332F">
        <w:rPr>
          <w:rFonts w:ascii="Times New Roman" w:hAnsi="Times New Roman" w:cs="Times New Roman"/>
        </w:rPr>
        <w:t>. Directly relevant to our n=129 regime and multi-output loads.</w:t>
      </w:r>
      <w:r w:rsidRPr="002F332F">
        <w:rPr>
          <w:rFonts w:ascii="Times New Roman" w:hAnsi="Times New Roman" w:cs="Times New Roman"/>
        </w:rPr>
        <w:br/>
        <w:t>Shows MIPT sampling can beat maximin LHS for the same model family — supports reporting both design quality and model family, not only “we used LHS.”</w:t>
      </w:r>
    </w:p>
    <w:p w14:paraId="29D7213B" w14:textId="77777777" w:rsidR="002F332F" w:rsidRPr="002F332F" w:rsidRDefault="002F332F" w:rsidP="002F332F">
      <w:pPr>
        <w:pStyle w:val="ListParagraph"/>
        <w:numPr>
          <w:ilvl w:val="0"/>
          <w:numId w:val="13"/>
        </w:numPr>
        <w:spacing w:after="160" w:line="278" w:lineRule="auto"/>
        <w:jc w:val="both"/>
        <w:rPr>
          <w:rFonts w:ascii="Times New Roman" w:hAnsi="Times New Roman" w:cs="Times New Roman"/>
        </w:rPr>
      </w:pPr>
      <w:r w:rsidRPr="002F332F">
        <w:rPr>
          <w:rFonts w:ascii="Times New Roman" w:hAnsi="Times New Roman" w:cs="Times New Roman"/>
        </w:rPr>
        <w:t>LHS / orthogonal / nearly orthogonal design advances (supports NOLHC framing)</w:t>
      </w:r>
    </w:p>
    <w:p w14:paraId="3D228A9B" w14:textId="77777777" w:rsidR="002F332F" w:rsidRPr="002F332F" w:rsidRDefault="002F332F" w:rsidP="002F332F">
      <w:pPr>
        <w:pStyle w:val="ListParagraph"/>
        <w:ind w:left="360"/>
        <w:jc w:val="both"/>
        <w:rPr>
          <w:rFonts w:ascii="Times New Roman" w:hAnsi="Times New Roman" w:cs="Times New Roman"/>
        </w:rPr>
      </w:pPr>
    </w:p>
    <w:p w14:paraId="712C42A8"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Strong orthogonal Latin hypercubes (2024) — Computational Statistics &amp; Data Analysis 198:107999. </w:t>
      </w:r>
    </w:p>
    <w:p w14:paraId="4A062BE1" w14:textId="77777777" w:rsidR="002F332F" w:rsidRPr="002F332F" w:rsidRDefault="002F332F" w:rsidP="002F332F">
      <w:pPr>
        <w:ind w:left="1440"/>
        <w:jc w:val="both"/>
        <w:rPr>
          <w:rFonts w:ascii="Times New Roman" w:hAnsi="Times New Roman" w:cs="Times New Roman"/>
        </w:rPr>
      </w:pPr>
      <w:r w:rsidRPr="002F332F">
        <w:rPr>
          <w:rFonts w:ascii="Times New Roman" w:hAnsi="Times New Roman" w:cs="Times New Roman"/>
        </w:rPr>
        <w:t>DOI: 10.1016/j.csda.2024.107999</w:t>
      </w:r>
    </w:p>
    <w:p w14:paraId="69CE3286"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New orthogonal LH class with stronger low-dimensional stratification — shows the field is still advancing orthogonal / near-orthogonal space-filling designs for computer experiments (our NOLHC lineage).</w:t>
      </w:r>
    </w:p>
    <w:p w14:paraId="26752C14"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proofErr w:type="spellStart"/>
      <w:r w:rsidRPr="002F332F">
        <w:rPr>
          <w:rFonts w:ascii="Times New Roman" w:hAnsi="Times New Roman" w:cs="Times New Roman"/>
        </w:rPr>
        <w:lastRenderedPageBreak/>
        <w:t>Boufi</w:t>
      </w:r>
      <w:proofErr w:type="spellEnd"/>
      <w:r w:rsidRPr="002F332F">
        <w:rPr>
          <w:rFonts w:ascii="Times New Roman" w:hAnsi="Times New Roman" w:cs="Times New Roman"/>
        </w:rPr>
        <w:t xml:space="preserve"> et al. (accepted / Statistica Sinica preprint) — Construction of (nearly) Orthogonal Symmetric Latin Hypercube Designs. </w:t>
      </w:r>
    </w:p>
    <w:p w14:paraId="7828B63B" w14:textId="77777777" w:rsidR="002F332F" w:rsidRPr="002F332F" w:rsidRDefault="002F332F" w:rsidP="002F332F">
      <w:pPr>
        <w:ind w:left="1080" w:firstLine="360"/>
        <w:jc w:val="both"/>
        <w:rPr>
          <w:rFonts w:ascii="Times New Roman" w:hAnsi="Times New Roman" w:cs="Times New Roman"/>
        </w:rPr>
      </w:pPr>
      <w:r w:rsidRPr="002F332F">
        <w:rPr>
          <w:rFonts w:ascii="Times New Roman" w:hAnsi="Times New Roman" w:cs="Times New Roman"/>
        </w:rPr>
        <w:t>DOI: 10.5705/ss.202024.0312</w:t>
      </w:r>
    </w:p>
    <w:p w14:paraId="4CE3F3C3"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Fresh constructions for orthogonal and nearly orthogonal SLHDs with flexible run sizes — useful to cite when arguing NOLHC-type designs remain an active research area.</w:t>
      </w:r>
    </w:p>
    <w:p w14:paraId="600B631E"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Orthogonal-</w:t>
      </w:r>
      <w:proofErr w:type="spellStart"/>
      <w:r w:rsidRPr="002F332F">
        <w:rPr>
          <w:rFonts w:ascii="Times New Roman" w:hAnsi="Times New Roman" w:cs="Times New Roman"/>
        </w:rPr>
        <w:t>MaxPro</w:t>
      </w:r>
      <w:proofErr w:type="spellEnd"/>
      <w:r w:rsidRPr="002F332F">
        <w:rPr>
          <w:rFonts w:ascii="Times New Roman" w:hAnsi="Times New Roman" w:cs="Times New Roman"/>
        </w:rPr>
        <w:t xml:space="preserve"> LHDs (2024) — </w:t>
      </w:r>
      <w:r w:rsidRPr="002F332F">
        <w:rPr>
          <w:rFonts w:ascii="Times New Roman" w:hAnsi="Times New Roman" w:cs="Times New Roman"/>
          <w:i/>
          <w:iCs/>
        </w:rPr>
        <w:t>Journal of Quality Technology</w:t>
      </w:r>
    </w:p>
    <w:p w14:paraId="2FE66997"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 xml:space="preserve">Why it matters: Combines orthogonality with </w:t>
      </w:r>
      <w:proofErr w:type="spellStart"/>
      <w:r w:rsidRPr="002F332F">
        <w:rPr>
          <w:rFonts w:ascii="Times New Roman" w:hAnsi="Times New Roman" w:cs="Times New Roman"/>
        </w:rPr>
        <w:t>MaxPro</w:t>
      </w:r>
      <w:proofErr w:type="spellEnd"/>
      <w:r w:rsidRPr="002F332F">
        <w:rPr>
          <w:rFonts w:ascii="Times New Roman" w:hAnsi="Times New Roman" w:cs="Times New Roman"/>
        </w:rPr>
        <w:t xml:space="preserve"> space-filling for universal Kriging — reinforces that correlation control + space-filling (exactly NOLHC’s dual goals) still define good computer-experiment designs.</w:t>
      </w:r>
    </w:p>
    <w:p w14:paraId="356D8AB7"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Wang, Xiao &amp; Mandal (2025/2026) — LHD: An All-encompassing R Package for Constructing Optimal Latin Hypercube Designs, The R Journal 17(4):20–36.</w:t>
      </w:r>
    </w:p>
    <w:p w14:paraId="466F658C" w14:textId="77777777" w:rsidR="002F332F" w:rsidRPr="002F332F" w:rsidRDefault="002F332F" w:rsidP="002F332F">
      <w:pPr>
        <w:ind w:left="1440"/>
        <w:jc w:val="both"/>
        <w:rPr>
          <w:rFonts w:ascii="Times New Roman" w:hAnsi="Times New Roman" w:cs="Times New Roman"/>
        </w:rPr>
      </w:pPr>
      <w:r w:rsidRPr="002F332F">
        <w:rPr>
          <w:rFonts w:ascii="Times New Roman" w:hAnsi="Times New Roman" w:cs="Times New Roman"/>
        </w:rPr>
        <w:t xml:space="preserve"> DOI: 10.32614/RJ-2025-033</w:t>
      </w:r>
    </w:p>
    <w:p w14:paraId="3A97883F" w14:textId="77777777" w:rsidR="002F332F" w:rsidRPr="002F332F" w:rsidRDefault="002F332F" w:rsidP="002F332F">
      <w:pPr>
        <w:ind w:left="720"/>
        <w:jc w:val="both"/>
        <w:rPr>
          <w:rFonts w:ascii="Times New Roman" w:hAnsi="Times New Roman" w:cs="Times New Roman"/>
        </w:rPr>
      </w:pPr>
      <w:r w:rsidRPr="002F332F">
        <w:rPr>
          <w:rFonts w:ascii="Times New Roman" w:hAnsi="Times New Roman" w:cs="Times New Roman"/>
        </w:rPr>
        <w:t>Why it matters: Software/methods paper covering OLHD / NOLHD construction for flexible sizes — practical evidence that nearly orthogonal LHDs are standard tooling for modern computer experiments.</w:t>
      </w:r>
      <w:r w:rsidRPr="002F332F">
        <w:rPr>
          <w:rFonts w:ascii="Times New Roman" w:hAnsi="Times New Roman" w:cs="Times New Roman"/>
        </w:rPr>
        <w:tab/>
      </w:r>
    </w:p>
    <w:p w14:paraId="6252B14D" w14:textId="77777777" w:rsidR="002F332F" w:rsidRPr="002F332F" w:rsidRDefault="002F332F" w:rsidP="002F332F">
      <w:pPr>
        <w:pStyle w:val="ListParagraph"/>
        <w:numPr>
          <w:ilvl w:val="0"/>
          <w:numId w:val="13"/>
        </w:numPr>
        <w:spacing w:after="160" w:line="278" w:lineRule="auto"/>
        <w:jc w:val="both"/>
        <w:rPr>
          <w:rFonts w:ascii="Times New Roman" w:hAnsi="Times New Roman" w:cs="Times New Roman"/>
        </w:rPr>
      </w:pPr>
      <w:r w:rsidRPr="002F332F">
        <w:rPr>
          <w:rFonts w:ascii="Times New Roman" w:hAnsi="Times New Roman" w:cs="Times New Roman"/>
        </w:rPr>
        <w:t>Sampling × model interaction (LHS alone is not enough)</w:t>
      </w:r>
    </w:p>
    <w:p w14:paraId="1968BDB4" w14:textId="77777777" w:rsidR="002F332F" w:rsidRPr="002F332F" w:rsidRDefault="002F332F" w:rsidP="002F332F">
      <w:pPr>
        <w:pStyle w:val="ListParagraph"/>
        <w:ind w:left="360"/>
        <w:jc w:val="both"/>
        <w:rPr>
          <w:rFonts w:ascii="Times New Roman" w:hAnsi="Times New Roman" w:cs="Times New Roman"/>
        </w:rPr>
      </w:pPr>
    </w:p>
    <w:p w14:paraId="624256FD" w14:textId="77777777" w:rsidR="002F332F" w:rsidRPr="002F332F" w:rsidRDefault="002F332F" w:rsidP="002F332F">
      <w:pPr>
        <w:pStyle w:val="ListParagraph"/>
        <w:numPr>
          <w:ilvl w:val="0"/>
          <w:numId w:val="12"/>
        </w:numPr>
        <w:spacing w:after="160" w:line="278" w:lineRule="auto"/>
        <w:jc w:val="both"/>
        <w:rPr>
          <w:rFonts w:ascii="Times New Roman" w:hAnsi="Times New Roman" w:cs="Times New Roman"/>
        </w:rPr>
      </w:pPr>
      <w:r w:rsidRPr="002F332F">
        <w:rPr>
          <w:rFonts w:ascii="Times New Roman" w:hAnsi="Times New Roman" w:cs="Times New Roman"/>
        </w:rPr>
        <w:t xml:space="preserve">Comparative surrogate + LHS </w:t>
      </w:r>
      <w:proofErr w:type="spellStart"/>
      <w:r w:rsidRPr="002F332F">
        <w:rPr>
          <w:rFonts w:ascii="Times New Roman" w:hAnsi="Times New Roman" w:cs="Times New Roman"/>
        </w:rPr>
        <w:t>optimisation</w:t>
      </w:r>
      <w:proofErr w:type="spellEnd"/>
      <w:r w:rsidRPr="002F332F">
        <w:rPr>
          <w:rFonts w:ascii="Times New Roman" w:hAnsi="Times New Roman" w:cs="Times New Roman"/>
        </w:rPr>
        <w:t xml:space="preserve"> studies (2024–2026) e.g. ORC turbine / CFD design papers in Energies / engineering journals</w:t>
      </w:r>
    </w:p>
    <w:p w14:paraId="26101562" w14:textId="77777777" w:rsidR="002F332F" w:rsidRPr="002F332F" w:rsidRDefault="002F332F" w:rsidP="002F332F">
      <w:pPr>
        <w:pStyle w:val="ListParagraph"/>
        <w:jc w:val="both"/>
        <w:rPr>
          <w:rFonts w:ascii="Times New Roman" w:hAnsi="Times New Roman" w:cs="Times New Roman"/>
        </w:rPr>
      </w:pPr>
      <w:r w:rsidRPr="002F332F">
        <w:rPr>
          <w:rFonts w:ascii="Times New Roman" w:hAnsi="Times New Roman" w:cs="Times New Roman"/>
        </w:rPr>
        <w:t>Why it matters: Common pattern: LHS (or factorial) training set → compare several surrogates → pick best for that response. Same experimental logic as our pipeline, usually with fewer model families than our 19.</w:t>
      </w:r>
    </w:p>
    <w:p w14:paraId="5211128A" w14:textId="77777777" w:rsidR="002F332F" w:rsidRPr="002F332F" w:rsidRDefault="002F332F" w:rsidP="002F332F">
      <w:pPr>
        <w:ind w:left="284"/>
        <w:jc w:val="both"/>
        <w:rPr>
          <w:rFonts w:ascii="Times New Roman" w:hAnsi="Times New Roman" w:cs="Times New Roman"/>
        </w:rPr>
      </w:pPr>
      <w:r w:rsidRPr="002F332F">
        <w:rPr>
          <w:rFonts w:ascii="Times New Roman" w:hAnsi="Times New Roman" w:cs="Times New Roman"/>
        </w:rPr>
        <w:t>Sample paragraph: When an expensive simulator is to be replaced by a metamodel, two decisions dominate accuracy under a limited evaluation budget: how the training points are placed in the input space, and which surrogate family is fitted. Space-filling Latin hypercube designs—and their orthogonal or nearly orthogonal refinements—remain the standard for computer experiments because they balance coverage with low factor correlation (</w:t>
      </w:r>
      <w:proofErr w:type="spellStart"/>
      <w:r w:rsidRPr="002F332F">
        <w:rPr>
          <w:rFonts w:ascii="Times New Roman" w:hAnsi="Times New Roman" w:cs="Times New Roman"/>
        </w:rPr>
        <w:t>Amouzgar</w:t>
      </w:r>
      <w:proofErr w:type="spellEnd"/>
      <w:r w:rsidRPr="002F332F">
        <w:rPr>
          <w:rFonts w:ascii="Times New Roman" w:hAnsi="Times New Roman" w:cs="Times New Roman"/>
        </w:rPr>
        <w:t xml:space="preserve"> et al., 2019; strong orthogonal LH constructions, 2024; Orthogonal-</w:t>
      </w:r>
      <w:proofErr w:type="spellStart"/>
      <w:r w:rsidRPr="002F332F">
        <w:rPr>
          <w:rFonts w:ascii="Times New Roman" w:hAnsi="Times New Roman" w:cs="Times New Roman"/>
        </w:rPr>
        <w:t>MaxPro</w:t>
      </w:r>
      <w:proofErr w:type="spellEnd"/>
      <w:r w:rsidRPr="002F332F">
        <w:rPr>
          <w:rFonts w:ascii="Times New Roman" w:hAnsi="Times New Roman" w:cs="Times New Roman"/>
        </w:rPr>
        <w:t xml:space="preserve"> LHDs, 2024). On the modelling side, large comparative studies consistently find that no single surrogate family is uniformly best: performance depends on response shape, dimensionality, and sample size (Williams and Cremaschi, 2021; Østergård et al., 2018; Villa-</w:t>
      </w:r>
      <w:proofErr w:type="spellStart"/>
      <w:r w:rsidRPr="002F332F">
        <w:rPr>
          <w:rFonts w:ascii="Times New Roman" w:hAnsi="Times New Roman" w:cs="Times New Roman"/>
        </w:rPr>
        <w:t>Vialaneix</w:t>
      </w:r>
      <w:proofErr w:type="spellEnd"/>
      <w:r w:rsidRPr="002F332F">
        <w:rPr>
          <w:rFonts w:ascii="Times New Roman" w:hAnsi="Times New Roman" w:cs="Times New Roman"/>
        </w:rPr>
        <w:t xml:space="preserve"> et al., 2012). Recent small-sample simulation work reinforces the same message in applied settings: for building-energy loads trained on only tens of runs, both the sampling scheme and the learner (ANN vs </w:t>
      </w:r>
      <w:proofErr w:type="spellStart"/>
      <w:r w:rsidRPr="002F332F">
        <w:rPr>
          <w:rFonts w:ascii="Times New Roman" w:hAnsi="Times New Roman" w:cs="Times New Roman"/>
        </w:rPr>
        <w:t>XGBoost</w:t>
      </w:r>
      <w:proofErr w:type="spellEnd"/>
      <w:r w:rsidRPr="002F332F">
        <w:rPr>
          <w:rFonts w:ascii="Times New Roman" w:hAnsi="Times New Roman" w:cs="Times New Roman"/>
        </w:rPr>
        <w:t>) change predictive quality (Stevanović et al., 2024), while large-scale emulator benchmarks show that most competing methods win on at least one problem instance (Rumsey et al., 2025). Motivated by this evidence, we generate a 129-run Nearly Orthogonal Latin Hypercube over d=35d=35 </w:t>
      </w:r>
      <w:proofErr w:type="spellStart"/>
      <w:r w:rsidRPr="002F332F">
        <w:rPr>
          <w:rFonts w:ascii="Times New Roman" w:hAnsi="Times New Roman" w:cs="Times New Roman"/>
        </w:rPr>
        <w:t>RoRo</w:t>
      </w:r>
      <w:proofErr w:type="spellEnd"/>
      <w:r w:rsidRPr="002F332F">
        <w:rPr>
          <w:rFonts w:ascii="Times New Roman" w:hAnsi="Times New Roman" w:cs="Times New Roman"/>
        </w:rPr>
        <w:t xml:space="preserve"> logistics inputs and, for each of K=20K=20 KPIs, </w:t>
      </w:r>
      <w:r w:rsidRPr="002F332F">
        <w:rPr>
          <w:rFonts w:ascii="Times New Roman" w:hAnsi="Times New Roman" w:cs="Times New Roman"/>
        </w:rPr>
        <w:lastRenderedPageBreak/>
        <w:t xml:space="preserve">benchmark 19 candidate regressors rather than committing a priori to a global model class. This design–model protocol </w:t>
      </w:r>
      <w:proofErr w:type="spellStart"/>
      <w:r w:rsidRPr="002F332F">
        <w:rPr>
          <w:rFonts w:ascii="Times New Roman" w:hAnsi="Times New Roman" w:cs="Times New Roman"/>
        </w:rPr>
        <w:t>operationalises</w:t>
      </w:r>
      <w:proofErr w:type="spellEnd"/>
      <w:r w:rsidRPr="002F332F">
        <w:rPr>
          <w:rFonts w:ascii="Times New Roman" w:hAnsi="Times New Roman" w:cs="Times New Roman"/>
        </w:rPr>
        <w:t xml:space="preserve"> the literature’s two core findings—careful space-filling DOE under small </w:t>
      </w:r>
      <w:proofErr w:type="spellStart"/>
      <w:r w:rsidRPr="002F332F">
        <w:rPr>
          <w:rFonts w:ascii="Times New Roman" w:hAnsi="Times New Roman" w:cs="Times New Roman"/>
        </w:rPr>
        <w:t>nn</w:t>
      </w:r>
      <w:proofErr w:type="spellEnd"/>
      <w:r w:rsidRPr="002F332F">
        <w:rPr>
          <w:rFonts w:ascii="Times New Roman" w:hAnsi="Times New Roman" w:cs="Times New Roman"/>
        </w:rPr>
        <w:t>, and problem-/output-specific surrogate selection—inside a deployable multi-output decision engine.</w:t>
      </w:r>
    </w:p>
    <w:p w14:paraId="2304048F" w14:textId="0A5F33B2" w:rsidR="00000000" w:rsidRPr="002F332F" w:rsidRDefault="00000000" w:rsidP="002F332F">
      <w:pPr>
        <w:pStyle w:val="ListParagraph"/>
        <w:numPr>
          <w:ilvl w:val="0"/>
          <w:numId w:val="11"/>
        </w:numPr>
        <w:ind w:left="426" w:hanging="142"/>
        <w:jc w:val="both"/>
        <w:rPr>
          <w:rFonts w:ascii="Times New Roman" w:hAnsi="Times New Roman" w:cs="Times New Roman"/>
          <w:b/>
          <w:bCs/>
        </w:rPr>
      </w:pPr>
      <w:r w:rsidRPr="002F332F">
        <w:rPr>
          <w:rFonts w:ascii="Times New Roman" w:hAnsi="Times New Roman" w:cs="Times New Roman"/>
          <w:b/>
          <w:bCs/>
        </w:rPr>
        <w:t>Stacking / per-target ensemble selection</w:t>
      </w:r>
    </w:p>
    <w:p w14:paraId="6C2F9E30" w14:textId="77777777" w:rsidR="00000000" w:rsidRPr="002F332F" w:rsidRDefault="00000000" w:rsidP="002F332F">
      <w:pPr>
        <w:pStyle w:val="ListParagraph"/>
        <w:ind w:left="360"/>
        <w:jc w:val="both"/>
        <w:rPr>
          <w:rFonts w:ascii="Times New Roman" w:hAnsi="Times New Roman" w:cs="Times New Roman"/>
          <w:highlight w:val="yellow"/>
        </w:rPr>
      </w:pPr>
      <w:r w:rsidRPr="002F332F">
        <w:rPr>
          <w:rFonts w:ascii="Times New Roman" w:hAnsi="Times New Roman" w:cs="Times New Roman"/>
          <w:highlight w:val="yellow"/>
        </w:rPr>
        <w:t xml:space="preserve">Our </w:t>
      </w:r>
      <w:proofErr w:type="spellStart"/>
      <w:r w:rsidRPr="002F332F">
        <w:rPr>
          <w:rFonts w:ascii="Times New Roman" w:hAnsi="Times New Roman" w:cs="Times New Roman"/>
          <w:highlight w:val="yellow"/>
        </w:rPr>
        <w:t>StackingRegressor</w:t>
      </w:r>
      <w:proofErr w:type="spellEnd"/>
      <w:r w:rsidRPr="002F332F">
        <w:rPr>
          <w:rFonts w:ascii="Times New Roman" w:hAnsi="Times New Roman" w:cs="Times New Roman"/>
          <w:highlight w:val="yellow"/>
        </w:rPr>
        <w:t xml:space="preserve"> with Ridge meta-learner and "stack vs best individual" registration rule</w:t>
      </w:r>
    </w:p>
    <w:p w14:paraId="79D49923" w14:textId="77777777" w:rsidR="00000000" w:rsidRPr="002F332F" w:rsidRDefault="00000000" w:rsidP="002F332F">
      <w:pPr>
        <w:ind w:left="360"/>
        <w:jc w:val="both"/>
        <w:rPr>
          <w:rFonts w:ascii="Times New Roman" w:hAnsi="Times New Roman" w:cs="Times New Roman"/>
          <w:b/>
          <w:bCs/>
          <w:highlight w:val="yellow"/>
        </w:rPr>
      </w:pPr>
      <w:r w:rsidRPr="002F332F">
        <w:rPr>
          <w:rFonts w:ascii="Times New Roman" w:hAnsi="Times New Roman" w:cs="Times New Roman"/>
          <w:b/>
          <w:bCs/>
        </w:rPr>
        <w:t>Why this theme matters for our engine</w:t>
      </w:r>
    </w:p>
    <w:p w14:paraId="6C03BDBC" w14:textId="77777777" w:rsidR="00000000" w:rsidRPr="002F332F" w:rsidRDefault="00000000" w:rsidP="002F332F">
      <w:pPr>
        <w:ind w:left="360"/>
        <w:jc w:val="both"/>
        <w:rPr>
          <w:rFonts w:ascii="Times New Roman" w:hAnsi="Times New Roman" w:cs="Times New Roman"/>
          <w:highlight w:val="yellow"/>
        </w:rPr>
      </w:pPr>
      <w:r w:rsidRPr="002F332F">
        <w:rPr>
          <w:rFonts w:ascii="Times New Roman" w:hAnsi="Times New Roman" w:cs="Times New Roman"/>
        </w:rPr>
        <w:t>Our engine does not commit to one global regressor. For each KPI it competes multiple families and registers a StackingRegressor with a Ridge meta-learner only when stacking beats the best individual on cross-validated error. The literature must therefore support both (i) GPR and tree ensembles as legitimate surrogate families and (ii) stacking as a justified challenger rather than an ad hoc ensemble.</w:t>
      </w:r>
    </w:p>
    <w:p w14:paraId="2A37DFB2" w14:textId="7FDBC434" w:rsidR="00000000" w:rsidRPr="002F332F" w:rsidRDefault="00000000" w:rsidP="002F332F">
      <w:pPr>
        <w:ind w:left="360"/>
        <w:jc w:val="both"/>
        <w:rPr>
          <w:rFonts w:ascii="Times New Roman" w:hAnsi="Times New Roman" w:cs="Times New Roman"/>
          <w:b/>
          <w:bCs/>
          <w:highlight w:val="yellow"/>
        </w:rPr>
      </w:pPr>
      <w:r w:rsidRPr="002F332F">
        <w:rPr>
          <w:rFonts w:ascii="Times New Roman" w:hAnsi="Times New Roman" w:cs="Times New Roman"/>
          <w:b/>
          <w:bCs/>
        </w:rPr>
        <w:t>Latest peer-reviewed / recent SOTA (2023–present)</w:t>
      </w:r>
      <w:r w:rsidR="002F332F" w:rsidRPr="002F332F">
        <w:rPr>
          <w:rFonts w:ascii="Times New Roman" w:hAnsi="Times New Roman" w:cs="Times New Roman"/>
          <w:b/>
          <w:bCs/>
        </w:rPr>
        <w:t xml:space="preserve"> :</w:t>
      </w:r>
    </w:p>
    <w:p w14:paraId="3C8D84EF"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He, X., et al. (2024) — Groundwater LNAPL contamination source identification based on stacking ensemble surrogate model, Water 16(16):2274.</w:t>
      </w:r>
    </w:p>
    <w:p w14:paraId="1C31936D"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DOI: 10.3390/w16162274</w:t>
      </w:r>
    </w:p>
    <w:p w14:paraId="34F184D4"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Why it matters: Shows stacking of heterogeneous base learners can beat any single surrogate on an expensive simulator — direct support for our StackingRegressor vs best-individual registration rule.</w:t>
      </w:r>
    </w:p>
    <w:p w14:paraId="308196C1"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Li, Y., et al. (2025) — Gaussian process regression with interquartile range selection and stacking ensemble for engineering design, Journal of Mechanical Design.</w:t>
      </w:r>
    </w:p>
    <w:p w14:paraId="76812681"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DOI: 10.1115/1.4071909</w:t>
      </w:r>
    </w:p>
    <w:p w14:paraId="53AF0C23"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Why it matters: Combines multiple GPR kernels via selection + stacking meta-learner; strengthens the case for GPR and stacking as competing families in our 19-model benchmark.</w:t>
      </w:r>
    </w:p>
    <w:p w14:paraId="7D717C7E"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Dolski, T., Spiller, E. T. &amp; Minkoff, S. E. (2024) — Gaussian process emulation for high-dimensional coupled systems, Technometrics 66(3):455–469.</w:t>
      </w:r>
    </w:p>
    <w:p w14:paraId="05C1EF8E"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DOI: 10.1080/00401706.2024.2322651</w:t>
      </w:r>
    </w:p>
    <w:p w14:paraId="7C0FBEC6" w14:textId="77777777" w:rsidR="00000000" w:rsidRPr="002F332F" w:rsidRDefault="00000000" w:rsidP="002F332F">
      <w:pPr>
        <w:pStyle w:val="ListParagraph"/>
        <w:ind w:left="360"/>
        <w:jc w:val="both"/>
        <w:rPr>
          <w:rFonts w:ascii="Times New Roman" w:hAnsi="Times New Roman" w:cs="Times New Roman"/>
          <w:b/>
          <w:bCs/>
        </w:rPr>
      </w:pPr>
      <w:r w:rsidRPr="002F332F">
        <w:rPr>
          <w:rFonts w:ascii="Times New Roman" w:hAnsi="Times New Roman" w:cs="Times New Roman"/>
        </w:rPr>
        <w:t>Why it matters: Recent GPR/emulator advance for expensive coupled simulators — anchors GPR as a core surrogate family alongside tree ensembles.</w:t>
      </w:r>
    </w:p>
    <w:p w14:paraId="0316A7DF" w14:textId="77777777" w:rsidR="00000000" w:rsidRPr="002F332F" w:rsidRDefault="00000000" w:rsidP="002F332F">
      <w:pPr>
        <w:ind w:left="360"/>
        <w:jc w:val="both"/>
        <w:rPr>
          <w:rFonts w:ascii="Times New Roman" w:hAnsi="Times New Roman" w:cs="Times New Roman"/>
          <w:b/>
          <w:bCs/>
        </w:rPr>
      </w:pPr>
      <w:r w:rsidRPr="002F332F">
        <w:rPr>
          <w:rFonts w:ascii="Times New Roman" w:hAnsi="Times New Roman" w:cs="Times New Roman"/>
        </w:rPr>
        <w:t xml:space="preserve">Sample paragraph: When several surrogate families are available, comparative studies and stacking applications suggest that no single inductive bias should be fixed in advance. Gaussian process emulators remain a default for expensive computer experiments because they provide flexible nonparametric fits and model-based uncertainty (Dolski et al., 2024). At the same time, stacking ensembles that combine heterogeneous base learners through a meta-learner have been shown to outperform any individual surrogate </w:t>
      </w:r>
      <w:r w:rsidRPr="002F332F">
        <w:rPr>
          <w:rFonts w:ascii="Times New Roman" w:hAnsi="Times New Roman" w:cs="Times New Roman"/>
        </w:rPr>
        <w:t xml:space="preserve">on difficult simulator maps (He et al., 2024; Li et al., 2025). Li et al. (2025) further show that selecting and stacking multiple GPR kernels can improve engineering-design surrogates, reinforcing GPR and stacking as complementary rather than competing extremes. Following this evidence, our RoRo engine benchmarks GPR (Matérn/RBF), tree ensembles, and regularised linear models for each KPI, then admits a Ridge-stacked challenger only when it strictly improves cross-validated RMSE over the best </w:t>
      </w:r>
      <w:r w:rsidRPr="002F332F">
        <w:rPr>
          <w:rFonts w:ascii="Times New Roman" w:hAnsi="Times New Roman" w:cs="Times New Roman"/>
        </w:rPr>
        <w:lastRenderedPageBreak/>
        <w:t>individual. T</w:t>
      </w:r>
      <w:r w:rsidRPr="002F332F">
        <w:rPr>
          <w:rFonts w:ascii="Times New Roman" w:hAnsi="Times New Roman" w:cs="Times New Roman"/>
        </w:rPr>
        <w:t>his per-target registration rule operationalises the literature’s finding that stacking is useful when—and only when—it earns its place against strong single-model baselines.</w:t>
      </w:r>
    </w:p>
    <w:p w14:paraId="1732C5BE" w14:textId="77777777" w:rsidR="00000000" w:rsidRPr="002F332F" w:rsidRDefault="00000000" w:rsidP="002F332F">
      <w:pPr>
        <w:pStyle w:val="ListParagraph"/>
        <w:numPr>
          <w:ilvl w:val="0"/>
          <w:numId w:val="11"/>
        </w:numPr>
        <w:jc w:val="both"/>
        <w:rPr>
          <w:rFonts w:ascii="Times New Roman" w:hAnsi="Times New Roman" w:cs="Times New Roman"/>
          <w:b/>
          <w:bCs/>
        </w:rPr>
      </w:pPr>
      <w:r w:rsidRPr="002F332F">
        <w:rPr>
          <w:rFonts w:ascii="Times New Roman" w:hAnsi="Times New Roman" w:cs="Times New Roman"/>
          <w:b/>
          <w:bCs/>
        </w:rPr>
        <w:t>Uncertainty: conformal prediction intervals + GPR variance</w:t>
      </w:r>
    </w:p>
    <w:p w14:paraId="11D8D88E" w14:textId="77777777" w:rsidR="00000000" w:rsidRPr="002F332F" w:rsidRDefault="00000000" w:rsidP="002F332F">
      <w:pPr>
        <w:pStyle w:val="ListParagraph"/>
        <w:ind w:left="360"/>
        <w:jc w:val="both"/>
        <w:rPr>
          <w:rFonts w:ascii="Times New Roman" w:hAnsi="Times New Roman" w:cs="Times New Roman"/>
          <w:highlight w:val="yellow"/>
        </w:rPr>
      </w:pPr>
      <w:r w:rsidRPr="002F332F">
        <w:rPr>
          <w:rFonts w:ascii="Times New Roman" w:hAnsi="Times New Roman" w:cs="Times New Roman"/>
          <w:highlight w:val="yellow"/>
        </w:rPr>
        <w:t>Our split-conformal 90% PIs on OOF residuals and GPR-native σ̂ intervals</w:t>
      </w:r>
    </w:p>
    <w:p w14:paraId="46F8717D" w14:textId="77777777" w:rsidR="00000000" w:rsidRPr="002F332F" w:rsidRDefault="00000000" w:rsidP="002F332F">
      <w:pPr>
        <w:ind w:left="360"/>
        <w:jc w:val="both"/>
        <w:rPr>
          <w:rFonts w:ascii="Times New Roman" w:hAnsi="Times New Roman" w:cs="Times New Roman"/>
          <w:b/>
          <w:bCs/>
          <w:highlight w:val="yellow"/>
        </w:rPr>
      </w:pPr>
      <w:r w:rsidRPr="002F332F">
        <w:rPr>
          <w:rFonts w:ascii="Times New Roman" w:hAnsi="Times New Roman" w:cs="Times New Roman"/>
          <w:b/>
          <w:bCs/>
        </w:rPr>
        <w:t>Why this theme matters for our engine</w:t>
      </w:r>
    </w:p>
    <w:p w14:paraId="4426A133" w14:textId="77777777" w:rsidR="00000000" w:rsidRPr="002F332F" w:rsidRDefault="00000000" w:rsidP="002F332F">
      <w:pPr>
        <w:ind w:left="360"/>
        <w:jc w:val="both"/>
        <w:rPr>
          <w:rFonts w:ascii="Times New Roman" w:hAnsi="Times New Roman" w:cs="Times New Roman"/>
        </w:rPr>
      </w:pPr>
      <w:r w:rsidRPr="002F332F">
        <w:rPr>
          <w:rFonts w:ascii="Times New Roman" w:hAnsi="Times New Roman" w:cs="Times New Roman"/>
        </w:rPr>
        <w:t>Point predictions alone are not enough for border-control screening: DES outputs are noisy and some KPIs (especially landbridge transport time) sit near congestion thresholds. Our engine therefore attaches 90% split-conformal prediction intervals calibrated on absolute out-of-fold residuals, alongside GPR-native variance where a GP is selected. The literature must justify conformal prediction as a model-agnostic, finite-sample UQ layer for regression surrogates.</w:t>
      </w:r>
    </w:p>
    <w:p w14:paraId="23D966A8" w14:textId="5BC150AB" w:rsidR="00000000" w:rsidRPr="002F332F" w:rsidRDefault="00000000" w:rsidP="002F332F">
      <w:pPr>
        <w:ind w:left="360"/>
        <w:jc w:val="both"/>
        <w:rPr>
          <w:rFonts w:ascii="Times New Roman" w:hAnsi="Times New Roman" w:cs="Times New Roman"/>
          <w:b/>
          <w:bCs/>
        </w:rPr>
      </w:pPr>
      <w:r w:rsidRPr="002F332F">
        <w:rPr>
          <w:rFonts w:ascii="Times New Roman" w:hAnsi="Times New Roman" w:cs="Times New Roman"/>
          <w:b/>
          <w:bCs/>
        </w:rPr>
        <w:t>Latest peer-reviewed / recent SOTA (2023–present)</w:t>
      </w:r>
      <w:r w:rsidR="002F332F" w:rsidRPr="002F332F">
        <w:rPr>
          <w:rFonts w:ascii="Times New Roman" w:hAnsi="Times New Roman" w:cs="Times New Roman"/>
          <w:b/>
          <w:bCs/>
        </w:rPr>
        <w:t>:</w:t>
      </w:r>
    </w:p>
    <w:p w14:paraId="66440402"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Angelopoulos, A. N. &amp; Bates, S. (2023) — Conformal prediction: A gentle introduction, Foundations and Trends in Machine Learning 16(4):494–591.</w:t>
      </w:r>
    </w:p>
    <w:p w14:paraId="5A5ABDC8"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10.1561/2200000101</w:t>
      </w:r>
    </w:p>
    <w:p w14:paraId="662F8190"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Canonical modern reference for split/inductive conformal intervals with finite-sample coverage — the theory behind our 90% OOF residual PIs.</w:t>
      </w:r>
    </w:p>
    <w:p w14:paraId="478A5E55"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Angelopoulos, A. N., et al. (2024) — Conformal prediction: A data perspective, arXiv:2410.06494 (see also peer-reviewed ACM Computing Surveys version where available).</w:t>
      </w:r>
    </w:p>
    <w:p w14:paraId="2251C7BC"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Up-to-date survey of conformal UQ for black-box ML; supports treating conformal as a model-agnostic wrapper on any selected surrogate.</w:t>
      </w:r>
    </w:p>
    <w:p w14:paraId="36683D81"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Kato, Y., Tax, D. M. J. &amp; Loog, M. (2023) — A review of nonconformity measures for conformal prediction in regression, Proceedings of Machine Learning Research 204.</w:t>
      </w:r>
    </w:p>
    <w:p w14:paraId="580C5F45"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Reviews absolute-residual and related nonconformity scores used in regression conformal intervals — matches our |OOF residual| calibration.</w:t>
      </w:r>
    </w:p>
    <w:p w14:paraId="6DAFB900"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Singh, G., et al. (2024) — Uncertainty quantification for probabilistic machine learning… using conformal prediction, Scientific Reports 14:16166.</w:t>
      </w:r>
    </w:p>
    <w:p w14:paraId="0959142A"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10.1038/s41598-024-65954-w</w:t>
      </w:r>
    </w:p>
    <w:p w14:paraId="39673699"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Applied demonstration that conformal intervals remain valid and practical across ML model classes — useful applied citation alongside the theory papers.</w:t>
      </w:r>
    </w:p>
    <w:p w14:paraId="47A64CEB" w14:textId="77777777" w:rsidR="00000000" w:rsidRPr="002F332F" w:rsidRDefault="00000000" w:rsidP="002F332F">
      <w:pPr>
        <w:ind w:left="360" w:firstLine="66"/>
        <w:jc w:val="both"/>
        <w:rPr>
          <w:rFonts w:ascii="Times New Roman" w:hAnsi="Times New Roman" w:cs="Times New Roman"/>
        </w:rPr>
      </w:pPr>
      <w:r w:rsidRPr="002F332F">
        <w:rPr>
          <w:rFonts w:ascii="Times New Roman" w:hAnsi="Times New Roman" w:cs="Times New Roman"/>
        </w:rPr>
        <w:t>Sample paragraph: Surrogate point predictions are insufficient for operational screening when the underlying discrete-event simulator is stochastic and response surfaces can shift into congested regimes. Classical Gaussian-process predictive variance is useful but depends on kernel and noise assumptions that may be misspecified. Conformal prediction provides a complementary, distribution-free route to uncertainty quantification: under exchangeability, split (inductive) conformal methods construct prediction</w:t>
      </w:r>
      <w:r w:rsidRPr="002F332F">
        <w:rPr>
          <w:rFonts w:ascii="Times New Roman" w:hAnsi="Times New Roman" w:cs="Times New Roman"/>
        </w:rPr>
        <w:t xml:space="preserve"> intervals with finite-sample marginal coverage guarantees without assuming Gaussian residuals (Angelopoulos and Bates, 2023; Kato et al., 2023). Recent surveys and applied studies emphasise that conformal inference separates the choice of predictor from calibrated uncertainty reporting and can wrap any black-box regressor, including ensembles (Angelopoulos et al., 2024; Singh et al., 2024). In our setting, NOLHC simulation runs supply exchangeable training cases, the selected per-KPI </w:t>
      </w:r>
      <w:r w:rsidRPr="002F332F">
        <w:rPr>
          <w:rFonts w:ascii="Times New Roman" w:hAnsi="Times New Roman" w:cs="Times New Roman"/>
        </w:rPr>
        <w:lastRenderedPageBreak/>
        <w:t>surrogate supplies the</w:t>
      </w:r>
      <w:r w:rsidRPr="002F332F">
        <w:rPr>
          <w:rFonts w:ascii="Times New Roman" w:hAnsi="Times New Roman" w:cs="Times New Roman"/>
        </w:rPr>
        <w:t xml:space="preserve"> point predictor, and 90% split-conformal intervals calibrated on absolute out-of-fold residuals flag where the metamodel is unreliable for policy screening under post-Brexit border-control uncertainty.</w:t>
      </w:r>
    </w:p>
    <w:p w14:paraId="51E1BC32" w14:textId="77777777" w:rsidR="00000000" w:rsidRPr="002F332F" w:rsidRDefault="00000000" w:rsidP="002F332F">
      <w:pPr>
        <w:pStyle w:val="ListParagraph"/>
        <w:numPr>
          <w:ilvl w:val="0"/>
          <w:numId w:val="11"/>
        </w:numPr>
        <w:jc w:val="both"/>
        <w:rPr>
          <w:rFonts w:ascii="Times New Roman" w:hAnsi="Times New Roman" w:cs="Times New Roman"/>
          <w:b/>
          <w:bCs/>
        </w:rPr>
      </w:pPr>
      <w:r w:rsidRPr="002F332F">
        <w:rPr>
          <w:rFonts w:ascii="Times New Roman" w:hAnsi="Times New Roman" w:cs="Times New Roman"/>
          <w:b/>
          <w:bCs/>
        </w:rPr>
        <w:t>Closest end-to-end analogues</w:t>
      </w:r>
      <w:r w:rsidRPr="002F332F">
        <w:rPr>
          <w:rFonts w:ascii="Times New Roman" w:hAnsi="Times New Roman" w:cs="Times New Roman"/>
          <w:b/>
          <w:bCs/>
        </w:rPr>
        <w:t xml:space="preserve"> </w:t>
      </w:r>
    </w:p>
    <w:p w14:paraId="5BFDA86C" w14:textId="77777777" w:rsidR="00000000" w:rsidRPr="002F332F" w:rsidRDefault="00000000" w:rsidP="002F332F">
      <w:pPr>
        <w:pStyle w:val="ListParagraph"/>
        <w:ind w:left="360"/>
        <w:jc w:val="both"/>
        <w:rPr>
          <w:rFonts w:ascii="Times New Roman" w:hAnsi="Times New Roman" w:cs="Times New Roman"/>
          <w:highlight w:val="yellow"/>
        </w:rPr>
      </w:pPr>
      <w:r w:rsidRPr="002F332F">
        <w:rPr>
          <w:rFonts w:ascii="Times New Roman" w:hAnsi="Times New Roman" w:cs="Times New Roman"/>
          <w:highlight w:val="yellow"/>
        </w:rPr>
        <w:t>Our whole-system claim: AnyLogic DES → NOLHC DOE → multi-model surrogates → conformal UQ → millisecond UI deployment</w:t>
      </w:r>
    </w:p>
    <w:p w14:paraId="2D332468" w14:textId="77777777" w:rsidR="00000000" w:rsidRPr="002F332F" w:rsidRDefault="00000000" w:rsidP="002F332F">
      <w:pPr>
        <w:ind w:left="360"/>
        <w:jc w:val="both"/>
        <w:rPr>
          <w:rFonts w:ascii="Times New Roman" w:hAnsi="Times New Roman" w:cs="Times New Roman"/>
          <w:b/>
          <w:bCs/>
          <w:highlight w:val="yellow"/>
        </w:rPr>
      </w:pPr>
      <w:r w:rsidRPr="002F332F">
        <w:rPr>
          <w:rFonts w:ascii="Times New Roman" w:hAnsi="Times New Roman" w:cs="Times New Roman"/>
          <w:b/>
          <w:bCs/>
        </w:rPr>
        <w:t>Why this theme matters for our engine</w:t>
      </w:r>
    </w:p>
    <w:p w14:paraId="1E087636" w14:textId="48308522" w:rsidR="00000000" w:rsidRPr="002F332F" w:rsidRDefault="00000000" w:rsidP="002F332F">
      <w:pPr>
        <w:ind w:left="360"/>
        <w:jc w:val="both"/>
        <w:rPr>
          <w:rFonts w:ascii="Times New Roman" w:hAnsi="Times New Roman" w:cs="Times New Roman"/>
          <w:highlight w:val="yellow"/>
        </w:rPr>
      </w:pPr>
      <w:r w:rsidRPr="002F332F">
        <w:rPr>
          <w:rFonts w:ascii="Times New Roman" w:hAnsi="Times New Roman" w:cs="Times New Roman"/>
        </w:rPr>
        <w:t>Sections 1–4 justify the pieces. Section 5 asks what published systems come closest to the full stack</w:t>
      </w:r>
      <w:r w:rsidR="002F332F">
        <w:rPr>
          <w:rFonts w:ascii="Times New Roman" w:hAnsi="Times New Roman" w:cs="Times New Roman"/>
        </w:rPr>
        <w:t xml:space="preserve"> </w:t>
      </w:r>
      <w:r w:rsidRPr="002F332F">
        <w:rPr>
          <w:rFonts w:ascii="Times New Roman" w:hAnsi="Times New Roman" w:cs="Times New Roman"/>
        </w:rPr>
        <w:t xml:space="preserve">simulation generating designed training data, multiple surrogate families, uncertainty </w:t>
      </w:r>
      <w:r w:rsidRPr="002F332F">
        <w:rPr>
          <w:rFonts w:ascii="Times New Roman" w:hAnsi="Times New Roman" w:cs="Times New Roman"/>
        </w:rPr>
        <w:t>r</w:t>
      </w:r>
      <w:r w:rsidRPr="002F332F">
        <w:rPr>
          <w:rFonts w:ascii="Times New Roman" w:hAnsi="Times New Roman" w:cs="Times New Roman"/>
        </w:rPr>
        <w:t>eporting, and use for logistics/operations decisions. Few papers match every layer; the citations below are the closest end-to-end analogues and reviews against which we position our contribution.</w:t>
      </w:r>
    </w:p>
    <w:p w14:paraId="67153D48" w14:textId="74154F46" w:rsidR="00000000" w:rsidRPr="002F332F" w:rsidRDefault="00000000" w:rsidP="002F332F">
      <w:pPr>
        <w:ind w:left="360"/>
        <w:jc w:val="both"/>
        <w:rPr>
          <w:rFonts w:ascii="Times New Roman" w:hAnsi="Times New Roman" w:cs="Times New Roman"/>
          <w:b/>
          <w:bCs/>
          <w:highlight w:val="yellow"/>
        </w:rPr>
      </w:pPr>
      <w:r w:rsidRPr="002F332F">
        <w:rPr>
          <w:rFonts w:ascii="Times New Roman" w:hAnsi="Times New Roman" w:cs="Times New Roman"/>
          <w:b/>
          <w:bCs/>
        </w:rPr>
        <w:t>Latest peer-reviewed / recent SOTA (2023–present)</w:t>
      </w:r>
      <w:r w:rsidR="002F332F" w:rsidRPr="002F332F">
        <w:rPr>
          <w:rFonts w:ascii="Times New Roman" w:hAnsi="Times New Roman" w:cs="Times New Roman"/>
          <w:b/>
          <w:bCs/>
        </w:rPr>
        <w:t>:</w:t>
      </w:r>
    </w:p>
    <w:p w14:paraId="34DCF169"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Cen, W. &amp; Haas, P. J. (2023) — Efficient hybrid simulation optimization via graph neural network metamodeling, Winter Simulation Conference (WSC), 3541–3552.</w:t>
      </w:r>
    </w:p>
    <w:p w14:paraId="1B262575"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10.1109/WSC60868.2023.10408474</w:t>
      </w:r>
    </w:p>
    <w:p w14:paraId="2177CAF4" w14:textId="7DB8E0F6"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 xml:space="preserve">Why it matters: DES/simulation metamodel used inside an optimisation loop </w:t>
      </w:r>
      <w:r w:rsidRPr="002F332F">
        <w:rPr>
          <w:rFonts w:ascii="Times New Roman" w:hAnsi="Times New Roman" w:cs="Times New Roman"/>
        </w:rPr>
        <w:t>—</w:t>
      </w:r>
      <w:r w:rsidRPr="002F332F">
        <w:rPr>
          <w:rFonts w:ascii="Times New Roman" w:hAnsi="Times New Roman" w:cs="Times New Roman"/>
        </w:rPr>
        <w:t>closest WSC-line analogue to replacing expensive simulation evaluations with an ML surrogate.</w:t>
      </w:r>
    </w:p>
    <w:p w14:paraId="0BB1B721"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Haas, P. J. &amp; Cen, W. (2024) — Tutorial: Artificial neural networks for discrete-event simulation, Winter Simulation Conference (WSC).</w:t>
      </w:r>
    </w:p>
    <w:p w14:paraId="3BCB2137"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10.1109/WSC63780.2024.10838940</w:t>
      </w:r>
    </w:p>
    <w:p w14:paraId="7AC6059B"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Positions ANN/ML metamodeling as a first-class DES workflow component (input modeling, metamodeling, OvS) — supports our offline DES→ML surrogate pipeline.</w:t>
      </w:r>
    </w:p>
    <w:p w14:paraId="19D20837"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Kogler, C. &amp; Maxera, P. (2025) — A literature review of supply chain analyses integrating discrete simulation modelling and machine learning, Journal of Simulation.</w:t>
      </w:r>
    </w:p>
    <w:p w14:paraId="2991F807"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10.1080/17477778.2025.2500393</w:t>
      </w:r>
    </w:p>
    <w:p w14:paraId="5FE4FA69"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Broad DES–ML supply-chain review; helps position our study among hybrid sim–ML logistics applications (while noting our offline multi-KPI surrogate + conformal focus).</w:t>
      </w:r>
    </w:p>
    <w:p w14:paraId="6E676E20"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Liu, Z. &amp; Nishi, T. (2024) — Surrogate-assisted evolutionary computation for distributed simulation-based inventory optimization in serial supply chains, IEEE CEC.</w:t>
      </w:r>
    </w:p>
    <w:p w14:paraId="10F8B59E" w14:textId="77777777"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DOI: 10.1109/CEC60901.2024.10612189</w:t>
      </w:r>
    </w:p>
    <w:p w14:paraId="305C28C5" w14:textId="31329CDF" w:rsidR="00000000" w:rsidRPr="002F332F" w:rsidRDefault="00000000" w:rsidP="002F332F">
      <w:pPr>
        <w:pStyle w:val="ListParagraph"/>
        <w:ind w:left="360"/>
        <w:jc w:val="both"/>
        <w:rPr>
          <w:rFonts w:ascii="Times New Roman" w:hAnsi="Times New Roman" w:cs="Times New Roman"/>
        </w:rPr>
      </w:pPr>
      <w:r w:rsidRPr="002F332F">
        <w:rPr>
          <w:rFonts w:ascii="Times New Roman" w:hAnsi="Times New Roman" w:cs="Times New Roman"/>
        </w:rPr>
        <w:t>Why it matters: Regression/classification surrogates filter candidates before costly simulation evaluation</w:t>
      </w:r>
      <w:r w:rsidRPr="002F332F">
        <w:rPr>
          <w:rFonts w:ascii="Times New Roman" w:hAnsi="Times New Roman" w:cs="Times New Roman"/>
        </w:rPr>
        <w:t xml:space="preserve"> same screen-then-simulate logic as our UI millisecond inference + DES confirmation path.</w:t>
      </w:r>
    </w:p>
    <w:p w14:paraId="5A94D426" w14:textId="77777777" w:rsidR="00000000" w:rsidRPr="002F332F" w:rsidRDefault="00000000" w:rsidP="002F332F">
      <w:pPr>
        <w:ind w:left="360"/>
        <w:jc w:val="both"/>
        <w:rPr>
          <w:rFonts w:ascii="Times New Roman" w:hAnsi="Times New Roman" w:cs="Times New Roman"/>
        </w:rPr>
      </w:pPr>
      <w:r w:rsidRPr="002F332F">
        <w:rPr>
          <w:rFonts w:ascii="Times New Roman" w:hAnsi="Times New Roman" w:cs="Times New Roman"/>
        </w:rPr>
        <w:t xml:space="preserve">Sample paragraph: Recent DES–ML research shows that machine-learning metamodels are increasingly used to accelerate simulation-based analysis and optimisation, including neural and hybrid surrogates for discrete-event systems (Cen and Haas, 2023; Haas and Cen, 2024). In supply-chain settings, reviews document a sharp rise in hybrid discrete simulation–machine learning studies and catalogue how simulation and ML components exchange data (Kogler and </w:t>
      </w:r>
      <w:r w:rsidRPr="002F332F">
        <w:rPr>
          <w:rFonts w:ascii="Times New Roman" w:hAnsi="Times New Roman" w:cs="Times New Roman"/>
        </w:rPr>
        <w:lastRenderedPageBreak/>
        <w:t>Maxera, 2025). Applied surrogate-assisted inventory work likewise trains cheap regressors on simulation outputs so that only promising candidates are sent back for expensive evaluation (Liu and Nishi, 2024). These studies establish the end-to-end logic of sim→ML→decision support, but most emphasise either optimiser-in-the-loop control or a single performance measure. Building on that line of work, the present engine couples an AnyLogic RoRo DES to a 129-run NOLHC, performs per-target selection across 19 sur</w:t>
      </w:r>
      <w:r w:rsidRPr="002F332F">
        <w:rPr>
          <w:rFonts w:ascii="Times New Roman" w:hAnsi="Times New Roman" w:cs="Times New Roman"/>
        </w:rPr>
        <w:t>rogate families plus stacking, and reports 90% split-conformal intervals for multi-KPI screening in a human-on-the-loop UI—an offline, uncertainty-aware deployment pattern that is still uncommon in the logistics DES–ML literature.</w:t>
      </w:r>
    </w:p>
    <w:p w14:paraId="1A9B93B1" w14:textId="77777777" w:rsidR="00000000" w:rsidRPr="002F332F" w:rsidRDefault="00000000" w:rsidP="002F332F">
      <w:pPr>
        <w:jc w:val="both"/>
        <w:rPr>
          <w:rFonts w:ascii="Times New Roman" w:hAnsi="Times New Roman" w:cs="Times New Roman"/>
          <w:b/>
          <w:bCs/>
        </w:rPr>
      </w:pPr>
      <w:r w:rsidRPr="002F332F">
        <w:rPr>
          <w:rFonts w:ascii="Times New Roman" w:hAnsi="Times New Roman" w:cs="Times New Roman"/>
          <w:b/>
          <w:bCs/>
        </w:rPr>
        <w:t xml:space="preserve">References: </w:t>
      </w:r>
    </w:p>
    <w:p w14:paraId="5D7DB7A1" w14:textId="77777777" w:rsidR="00000000" w:rsidRPr="002F332F" w:rsidRDefault="00000000" w:rsidP="002F332F">
      <w:pPr>
        <w:jc w:val="both"/>
        <w:rPr>
          <w:rFonts w:ascii="Times New Roman" w:hAnsi="Times New Roman" w:cs="Times New Roman"/>
          <w:b/>
          <w:bCs/>
        </w:rPr>
      </w:pPr>
      <w:r w:rsidRPr="002F332F">
        <w:rPr>
          <w:rFonts w:ascii="Times New Roman" w:hAnsi="Times New Roman" w:cs="Times New Roman"/>
          <w:b/>
          <w:bCs/>
        </w:rPr>
        <w:t>Section 1 — ML surrogates replacing simulation</w:t>
      </w:r>
    </w:p>
    <w:p w14:paraId="3AFA7C85" w14:textId="77777777" w:rsidR="00000000" w:rsidRPr="002F332F" w:rsidRDefault="00000000" w:rsidP="002F332F">
      <w:pPr>
        <w:jc w:val="both"/>
        <w:rPr>
          <w:rFonts w:ascii="Times New Roman" w:hAnsi="Times New Roman" w:cs="Times New Roman"/>
        </w:rPr>
      </w:pPr>
      <w:proofErr w:type="spellStart"/>
      <w:r w:rsidRPr="002F332F">
        <w:rPr>
          <w:rFonts w:ascii="Times New Roman" w:hAnsi="Times New Roman" w:cs="Times New Roman"/>
        </w:rPr>
        <w:t>Amouzgar</w:t>
      </w:r>
      <w:proofErr w:type="spellEnd"/>
      <w:r w:rsidRPr="002F332F">
        <w:rPr>
          <w:rFonts w:ascii="Times New Roman" w:hAnsi="Times New Roman" w:cs="Times New Roman"/>
        </w:rPr>
        <w:t>, K., Rashid, A. and Nicolescu, C.M. (2019) ‘Comparative study of metamodeling and sampling design for expensive and semi-expensive simulation models under uncertainty’, SIMULATION, 96(1). Available at: https://doi.org/10.1177/0037549719846988</w:t>
      </w:r>
    </w:p>
    <w:p w14:paraId="3687DCC6"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He, C., Zhang, Y., Gong, D. and Ji, X. (2023) ‘A review of surrogate-assisted evolutionary algorithms for expensive optimization problems’, Expert Systems with Applications, 217, 119495. Available at: https://doi.org/10.1016/j.eswa.2022.119495</w:t>
      </w:r>
    </w:p>
    <w:p w14:paraId="152D6555"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 xml:space="preserve">Liu, Z. and Nishi, T. (2023a) ‘Data-driven evolutionary computation for service constrained inventory optimization in multi-echelon supply chains’, Complex &amp; Intelligent Systems, 10(1), pp. 825–846. Available at: </w:t>
      </w:r>
      <w:hyperlink w:history="1">
        <w:r w:rsidRPr="002F332F">
          <w:rPr>
            <w:rFonts w:ascii="Times New Roman" w:hAnsi="Times New Roman" w:cs="Times New Roman"/>
          </w:rPr>
          <w:t>https://doi.org/10.1007/s40747-023-01179-0</w:t>
        </w:r>
      </w:hyperlink>
    </w:p>
    <w:p w14:paraId="099539B6"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Liu, Z. and Nishi, T. (2023b) ‘Surrogate-assisted evolutionary optimization for perishable inventory management in multi-echelon distribution systems’, Expert Systems with Applications, 238, 122179. Available at: https://doi.org/10.1016/j.eswa.2023.122179</w:t>
      </w:r>
    </w:p>
    <w:p w14:paraId="3CD3A7B3"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 xml:space="preserve">Wan, X., Pekny, J.F. and </w:t>
      </w:r>
      <w:proofErr w:type="spellStart"/>
      <w:r w:rsidRPr="002F332F">
        <w:rPr>
          <w:rFonts w:ascii="Times New Roman" w:hAnsi="Times New Roman" w:cs="Times New Roman"/>
        </w:rPr>
        <w:t>Reklaitis</w:t>
      </w:r>
      <w:proofErr w:type="spellEnd"/>
      <w:r w:rsidRPr="002F332F">
        <w:rPr>
          <w:rFonts w:ascii="Times New Roman" w:hAnsi="Times New Roman" w:cs="Times New Roman"/>
        </w:rPr>
        <w:t>, G.V. (2005) ‘Simulation-based optimization with surrogate models—Application to supply chain management’, Computers &amp; Chemical Engineering, 29(6), pp. 1317–1328. Available at: https://doi.org/10.1016/j.compchemeng.2005.02.018</w:t>
      </w:r>
    </w:p>
    <w:p w14:paraId="1ED55ACA"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 xml:space="preserve">Zhang, T., Lauras, M., Zacharewicz, G., Rabah, S. and </w:t>
      </w:r>
      <w:proofErr w:type="spellStart"/>
      <w:r w:rsidRPr="002F332F">
        <w:rPr>
          <w:rFonts w:ascii="Times New Roman" w:hAnsi="Times New Roman" w:cs="Times New Roman"/>
        </w:rPr>
        <w:t>Benaben</w:t>
      </w:r>
      <w:proofErr w:type="spellEnd"/>
      <w:r w:rsidRPr="002F332F">
        <w:rPr>
          <w:rFonts w:ascii="Times New Roman" w:hAnsi="Times New Roman" w:cs="Times New Roman"/>
        </w:rPr>
        <w:t>, F. (2024) ‘Coupling simulation and machine learning for predictive analytics in supply chain management’, International Journal of Production Research, 62(23), pp. 8397–8414. Available at: https://doi.org/10.1080/00207543.2024.2342019</w:t>
      </w:r>
    </w:p>
    <w:p w14:paraId="7A08CC46"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Greasley, A. (2020) ‘Architectures for combining discrete-event simulation and machine learning’, in Proceedings of the 10th International Conference on Simulation and Modeling Methodologies, Technologies and Applications (SIMULTECH). Available at: https://doi.org/10.5220/0009767600470058</w:t>
      </w:r>
    </w:p>
    <w:p w14:paraId="3E9191EA" w14:textId="77777777" w:rsidR="00000000" w:rsidRPr="002F332F" w:rsidRDefault="00000000" w:rsidP="002F332F">
      <w:pPr>
        <w:jc w:val="both"/>
        <w:rPr>
          <w:rFonts w:ascii="Times New Roman" w:hAnsi="Times New Roman" w:cs="Times New Roman"/>
          <w:b/>
          <w:bCs/>
        </w:rPr>
      </w:pPr>
      <w:r w:rsidRPr="002F332F">
        <w:rPr>
          <w:rFonts w:ascii="Times New Roman" w:hAnsi="Times New Roman" w:cs="Times New Roman"/>
          <w:b/>
          <w:bCs/>
        </w:rPr>
        <w:t>Section 2 — LHS designs + comparing many surrogate families</w:t>
      </w:r>
    </w:p>
    <w:p w14:paraId="71979AD7" w14:textId="77777777" w:rsidR="00000000" w:rsidRPr="002F332F" w:rsidRDefault="00000000" w:rsidP="002F332F">
      <w:pPr>
        <w:jc w:val="both"/>
        <w:rPr>
          <w:rFonts w:ascii="Times New Roman" w:hAnsi="Times New Roman" w:cs="Times New Roman"/>
        </w:rPr>
      </w:pPr>
      <w:proofErr w:type="spellStart"/>
      <w:r w:rsidRPr="002F332F">
        <w:rPr>
          <w:rFonts w:ascii="Times New Roman" w:hAnsi="Times New Roman" w:cs="Times New Roman"/>
        </w:rPr>
        <w:lastRenderedPageBreak/>
        <w:t>Boufi</w:t>
      </w:r>
      <w:proofErr w:type="spellEnd"/>
      <w:r w:rsidRPr="002F332F">
        <w:rPr>
          <w:rFonts w:ascii="Times New Roman" w:hAnsi="Times New Roman" w:cs="Times New Roman"/>
        </w:rPr>
        <w:t xml:space="preserve">, M., Chatterjee, K., </w:t>
      </w:r>
      <w:proofErr w:type="spellStart"/>
      <w:r w:rsidRPr="002F332F">
        <w:rPr>
          <w:rFonts w:ascii="Times New Roman" w:hAnsi="Times New Roman" w:cs="Times New Roman"/>
        </w:rPr>
        <w:t>Koukouvinos</w:t>
      </w:r>
      <w:proofErr w:type="spellEnd"/>
      <w:r w:rsidRPr="002F332F">
        <w:rPr>
          <w:rFonts w:ascii="Times New Roman" w:hAnsi="Times New Roman" w:cs="Times New Roman"/>
        </w:rPr>
        <w:t>, C., Liu, M.-Q. and Yang, L. (accepted / preprint) ‘Construction of (nearly) orthogonal symmetric Latin hypercube designs’, Statistica Sinica. Available at: https://doi.org/10.5705/ss.202024.0312</w:t>
      </w:r>
    </w:p>
    <w:p w14:paraId="601C2C54"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Østergård, T., Jensen, R.L. and Maagaard, S.E. (2018) ‘A comparison of six metamodeling techniques applied to building performance simulations’, Applied Energy, 211, pp. 89–103. Available at: https://doi.org/10.1016/j.apenergy.2017.10.102</w:t>
      </w:r>
    </w:p>
    <w:p w14:paraId="33DD86E1"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 xml:space="preserve">Rumsey, K.N., Gibson, G.C., Francom, D. and Morris, R. (2025) ‘All emulators are wrong, many are useful, and some are more useful than others: a reproducible comparison of computer model surrogates’, </w:t>
      </w:r>
      <w:proofErr w:type="spellStart"/>
      <w:r w:rsidRPr="002F332F">
        <w:rPr>
          <w:rFonts w:ascii="Times New Roman" w:hAnsi="Times New Roman" w:cs="Times New Roman"/>
        </w:rPr>
        <w:t>arXiv</w:t>
      </w:r>
      <w:proofErr w:type="spellEnd"/>
      <w:r w:rsidRPr="002F332F">
        <w:rPr>
          <w:rFonts w:ascii="Times New Roman" w:hAnsi="Times New Roman" w:cs="Times New Roman"/>
        </w:rPr>
        <w:t xml:space="preserve"> preprint arXiv:2512.09060. Available at: https://arxiv.org/abs/2512.09060</w:t>
      </w:r>
    </w:p>
    <w:p w14:paraId="548C42F3"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(Only preprint available)</w:t>
      </w:r>
    </w:p>
    <w:p w14:paraId="23F13C9F"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 xml:space="preserve">Stevanović, S., Dashti, H., Milošević, M., Al-Yakoob, S. and Stevanović, D. (2024) ‘Comparison of ANN and </w:t>
      </w:r>
      <w:proofErr w:type="spellStart"/>
      <w:r w:rsidRPr="002F332F">
        <w:rPr>
          <w:rFonts w:ascii="Times New Roman" w:hAnsi="Times New Roman" w:cs="Times New Roman"/>
        </w:rPr>
        <w:t>XGBoost</w:t>
      </w:r>
      <w:proofErr w:type="spellEnd"/>
      <w:r w:rsidRPr="002F332F">
        <w:rPr>
          <w:rFonts w:ascii="Times New Roman" w:hAnsi="Times New Roman" w:cs="Times New Roman"/>
        </w:rPr>
        <w:t xml:space="preserve"> surrogate models trained on small numbers of building energy simulations’, </w:t>
      </w:r>
      <w:proofErr w:type="spellStart"/>
      <w:r w:rsidRPr="002F332F">
        <w:rPr>
          <w:rFonts w:ascii="Times New Roman" w:hAnsi="Times New Roman" w:cs="Times New Roman"/>
        </w:rPr>
        <w:t>PLoS</w:t>
      </w:r>
      <w:proofErr w:type="spellEnd"/>
      <w:r w:rsidRPr="002F332F">
        <w:rPr>
          <w:rFonts w:ascii="Times New Roman" w:hAnsi="Times New Roman" w:cs="Times New Roman"/>
        </w:rPr>
        <w:t xml:space="preserve"> ONE, 19(10), e0312573. Available at: https://doi.org/10.1371/journal.pone.0312573</w:t>
      </w:r>
    </w:p>
    <w:p w14:paraId="78AF5927"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Villa-</w:t>
      </w:r>
      <w:proofErr w:type="spellStart"/>
      <w:r w:rsidRPr="002F332F">
        <w:rPr>
          <w:rFonts w:ascii="Times New Roman" w:hAnsi="Times New Roman" w:cs="Times New Roman"/>
        </w:rPr>
        <w:t>Vialaneix</w:t>
      </w:r>
      <w:proofErr w:type="spellEnd"/>
      <w:r w:rsidRPr="002F332F">
        <w:rPr>
          <w:rFonts w:ascii="Times New Roman" w:hAnsi="Times New Roman" w:cs="Times New Roman"/>
        </w:rPr>
        <w:t>, N., Follador, M., Ratto, M. and Leip, A. (2012) ‘A comparison of eight metamodeling techniques for the simulation of N₂O fluxes and N leaching from corn crops’, Environmental Modelling &amp; Software, 34, pp. 51–66. Available at: https://doi.org/10.1016/j.envsoft.2011.05.003</w:t>
      </w:r>
    </w:p>
    <w:p w14:paraId="79FC329D"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Wang, C. and Lin, D.K.J. (2024) ‘Strong orthogonal Latin hypercubes for computer experiments’, Computational Statistics &amp; Data Analysis, 198, 107999. Available at: https://doi.org/10.1016/j.csda.2024.107999</w:t>
      </w:r>
    </w:p>
    <w:p w14:paraId="5B2E9E34"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Wang, H., Xiao, Q. and Mandal, A. (2025) ‘LHD: An all-encompassing R package for constructing optimal Latin hypercube designs’, The R Journal, 17(4), pp. 20–36. Available at: https://doi.org/10.32614/RJ-2025-033</w:t>
      </w:r>
    </w:p>
    <w:p w14:paraId="267823C2"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Williams, B. and Cremaschi, S. (2021) ‘Selection of surrogate modeling techniques for surface approximation and surrogate-based optimization’, Chemical Engineering Research and Design, 170, pp. 76–89. Available at: https://doi.org/10.1016/j.cherd.2021.03.028</w:t>
      </w:r>
    </w:p>
    <w:p w14:paraId="6A008E69" w14:textId="77777777" w:rsidR="00000000" w:rsidRPr="002F332F" w:rsidRDefault="00000000" w:rsidP="002F332F">
      <w:pPr>
        <w:jc w:val="both"/>
        <w:rPr>
          <w:rFonts w:ascii="Times New Roman" w:hAnsi="Times New Roman" w:cs="Times New Roman"/>
        </w:rPr>
      </w:pPr>
      <w:proofErr w:type="spellStart"/>
      <w:r w:rsidRPr="002F332F">
        <w:rPr>
          <w:rFonts w:ascii="Times New Roman" w:hAnsi="Times New Roman" w:cs="Times New Roman"/>
        </w:rPr>
        <w:t>Amouzgar</w:t>
      </w:r>
      <w:proofErr w:type="spellEnd"/>
      <w:r w:rsidRPr="002F332F">
        <w:rPr>
          <w:rFonts w:ascii="Times New Roman" w:hAnsi="Times New Roman" w:cs="Times New Roman"/>
        </w:rPr>
        <w:t>, K., Rashid, A. and Nicolescu, C.M. (2019) — same entry as above.</w:t>
      </w:r>
    </w:p>
    <w:p w14:paraId="3264302E" w14:textId="77777777" w:rsidR="00000000" w:rsidRPr="002F332F" w:rsidRDefault="00000000" w:rsidP="002F332F">
      <w:pPr>
        <w:jc w:val="both"/>
        <w:rPr>
          <w:rFonts w:ascii="Times New Roman" w:hAnsi="Times New Roman" w:cs="Times New Roman"/>
        </w:rPr>
      </w:pPr>
      <w:r w:rsidRPr="002F332F">
        <w:rPr>
          <w:rFonts w:ascii="Times New Roman" w:hAnsi="Times New Roman" w:cs="Times New Roman"/>
        </w:rPr>
        <w:t>IOP Conference paper: ‘Research on applicability and efficient construction with typical surrogate models’ (2023) Journal of Physics: Conference Series, 2449, 012009. Available at: https://doi.org/10.1088/1742-6596/2449/1/012009</w:t>
      </w:r>
    </w:p>
    <w:p w14:paraId="1D223BDF" w14:textId="77777777" w:rsidR="00747EBE" w:rsidRDefault="00000000" w:rsidP="002F332F">
      <w:pPr>
        <w:jc w:val="both"/>
        <w:rPr>
          <w:rFonts w:ascii="Times New Roman" w:hAnsi="Times New Roman" w:cs="Times New Roman"/>
        </w:rPr>
      </w:pPr>
      <w:r w:rsidRPr="002F332F">
        <w:rPr>
          <w:rFonts w:ascii="Times New Roman" w:hAnsi="Times New Roman" w:cs="Times New Roman"/>
        </w:rPr>
        <w:t>Orthogonal-</w:t>
      </w:r>
      <w:proofErr w:type="spellStart"/>
      <w:r w:rsidRPr="002F332F">
        <w:rPr>
          <w:rFonts w:ascii="Times New Roman" w:hAnsi="Times New Roman" w:cs="Times New Roman"/>
        </w:rPr>
        <w:t>MaxPro</w:t>
      </w:r>
      <w:proofErr w:type="spellEnd"/>
      <w:r w:rsidRPr="002F332F">
        <w:rPr>
          <w:rFonts w:ascii="Times New Roman" w:hAnsi="Times New Roman" w:cs="Times New Roman"/>
        </w:rPr>
        <w:t xml:space="preserve"> LHD (2024) Journal of Quality Technology — confirm final author list in </w:t>
      </w:r>
      <w:proofErr w:type="spellStart"/>
      <w:r w:rsidRPr="002F332F">
        <w:rPr>
          <w:rFonts w:ascii="Times New Roman" w:hAnsi="Times New Roman" w:cs="Times New Roman"/>
        </w:rPr>
        <w:t>Crossref</w:t>
      </w:r>
      <w:proofErr w:type="spellEnd"/>
      <w:r w:rsidRPr="002F332F">
        <w:rPr>
          <w:rFonts w:ascii="Times New Roman" w:hAnsi="Times New Roman" w:cs="Times New Roman"/>
        </w:rPr>
        <w:t xml:space="preserve"> when inserting; search via: </w:t>
      </w:r>
      <w:hyperlink r:id="rId6" w:history="1">
        <w:r w:rsidR="002F332F" w:rsidRPr="00583BBB">
          <w:rPr>
            <w:rStyle w:val="Hyperlink"/>
            <w:rFonts w:ascii="Times New Roman" w:hAnsi="Times New Roman" w:cs="Times New Roman"/>
          </w:rPr>
          <w:t>https://www.tandfonline.com/journals/ujqt20</w:t>
        </w:r>
      </w:hyperlink>
    </w:p>
    <w:p w14:paraId="227DB819" w14:textId="2F111D07" w:rsidR="00F85EA6" w:rsidRPr="00747EBE" w:rsidRDefault="00747EBE" w:rsidP="00747EBE">
      <w:pPr>
        <w:rPr>
          <w:rFonts w:ascii="Times New Roman" w:hAnsi="Times New Roman" w:cs="Times New Roman"/>
        </w:rPr>
      </w:pPr>
      <w:r>
        <w:rPr>
          <w:rFonts w:ascii="Times New Roman" w:hAnsi="Times New Roman" w:cs="Times New Roman"/>
        </w:rPr>
        <w:br w:type="page"/>
      </w:r>
      <w:r w:rsidR="00000000" w:rsidRPr="002F332F">
        <w:rPr>
          <w:rFonts w:ascii="Times New Roman" w:hAnsi="Times New Roman" w:cs="Times New Roman"/>
          <w:b/>
          <w:bCs/>
        </w:rPr>
        <w:lastRenderedPageBreak/>
        <w:t xml:space="preserve">Section 3 </w:t>
      </w:r>
      <w:r w:rsidR="002F332F">
        <w:rPr>
          <w:rFonts w:ascii="Times New Roman" w:hAnsi="Times New Roman" w:cs="Times New Roman"/>
          <w:b/>
          <w:bCs/>
        </w:rPr>
        <w:t>-</w:t>
      </w:r>
      <w:r w:rsidR="00000000" w:rsidRPr="002F332F">
        <w:rPr>
          <w:rFonts w:ascii="Times New Roman" w:hAnsi="Times New Roman" w:cs="Times New Roman"/>
          <w:b/>
          <w:bCs/>
        </w:rPr>
        <w:t xml:space="preserve"> Stacking / per-target ensemble selection</w:t>
      </w:r>
    </w:p>
    <w:p w14:paraId="4C0C6010" w14:textId="303B66F0" w:rsidR="00F85EA6" w:rsidRPr="002F332F" w:rsidRDefault="00000000" w:rsidP="002F332F">
      <w:pPr>
        <w:jc w:val="both"/>
        <w:rPr>
          <w:rFonts w:ascii="Times New Roman" w:hAnsi="Times New Roman" w:cs="Times New Roman"/>
        </w:rPr>
      </w:pPr>
      <w:r w:rsidRPr="002F332F">
        <w:rPr>
          <w:rFonts w:ascii="Times New Roman" w:hAnsi="Times New Roman" w:cs="Times New Roman"/>
        </w:rPr>
        <w:t>Dolski, T., Spiller, E.T. and Minkoff, S.E. (2024) ‘Gaussian process emulation for high-dimensional coupled systems’, Technometrics, 66(3), pp. 455–469. Available at:</w:t>
      </w:r>
      <w:r w:rsidR="002F332F">
        <w:rPr>
          <w:rFonts w:ascii="Times New Roman" w:hAnsi="Times New Roman" w:cs="Times New Roman"/>
        </w:rPr>
        <w:t xml:space="preserve">  </w:t>
      </w:r>
      <w:hyperlink r:id="rId7" w:history="1">
        <w:r w:rsidRPr="002F332F">
          <w:rPr>
            <w:rStyle w:val="Hyperlink"/>
            <w:rFonts w:ascii="Times New Roman" w:hAnsi="Times New Roman" w:cs="Times New Roman"/>
          </w:rPr>
          <w:t>https:</w:t>
        </w:r>
        <w:r w:rsidRPr="002F332F">
          <w:rPr>
            <w:rStyle w:val="Hyperlink"/>
            <w:rFonts w:ascii="Times New Roman" w:hAnsi="Times New Roman" w:cs="Times New Roman"/>
          </w:rPr>
          <w:t>/</w:t>
        </w:r>
        <w:r w:rsidRPr="002F332F">
          <w:rPr>
            <w:rStyle w:val="Hyperlink"/>
            <w:rFonts w:ascii="Times New Roman" w:hAnsi="Times New Roman" w:cs="Times New Roman"/>
          </w:rPr>
          <w:t>/doi.org/10.1080/00401706.2024.2322651</w:t>
        </w:r>
      </w:hyperlink>
    </w:p>
    <w:p w14:paraId="11CE1C82" w14:textId="2103BEDB"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He, X. et al. (2024) ‘Groundwater LNAPL contamination source identification based on stacking ensemble surrogate model’, Water, 16(16), 2274. Available at: </w:t>
      </w:r>
      <w:r w:rsidR="002F332F">
        <w:rPr>
          <w:rFonts w:ascii="Times New Roman" w:hAnsi="Times New Roman" w:cs="Times New Roman"/>
        </w:rPr>
        <w:t xml:space="preserve"> </w:t>
      </w:r>
      <w:hyperlink r:id="rId8" w:history="1">
        <w:r w:rsidRPr="002F332F">
          <w:rPr>
            <w:rStyle w:val="Hyperlink"/>
            <w:rFonts w:ascii="Times New Roman" w:hAnsi="Times New Roman" w:cs="Times New Roman"/>
          </w:rPr>
          <w:t>https://doi.org/10.3390/w16</w:t>
        </w:r>
        <w:r w:rsidRPr="002F332F">
          <w:rPr>
            <w:rStyle w:val="Hyperlink"/>
            <w:rFonts w:ascii="Times New Roman" w:hAnsi="Times New Roman" w:cs="Times New Roman"/>
          </w:rPr>
          <w:t>1</w:t>
        </w:r>
        <w:r w:rsidRPr="002F332F">
          <w:rPr>
            <w:rStyle w:val="Hyperlink"/>
            <w:rFonts w:ascii="Times New Roman" w:hAnsi="Times New Roman" w:cs="Times New Roman"/>
          </w:rPr>
          <w:t>62274</w:t>
        </w:r>
      </w:hyperlink>
    </w:p>
    <w:p w14:paraId="2B2860C6" w14:textId="3C9F0259"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Li, Y. et al. (2025) ‘Gaussian process regression with interquartile range selection and stacking ensemble for engineering design’, Journal of Mechanical Design. Available at: </w:t>
      </w:r>
      <w:hyperlink r:id="rId9" w:history="1">
        <w:r w:rsidRPr="002F332F">
          <w:rPr>
            <w:rStyle w:val="Hyperlink"/>
            <w:rFonts w:ascii="Times New Roman" w:hAnsi="Times New Roman" w:cs="Times New Roman"/>
          </w:rPr>
          <w:t>https://doi.org/10.11</w:t>
        </w:r>
        <w:r w:rsidRPr="002F332F">
          <w:rPr>
            <w:rStyle w:val="Hyperlink"/>
            <w:rFonts w:ascii="Times New Roman" w:hAnsi="Times New Roman" w:cs="Times New Roman"/>
          </w:rPr>
          <w:t>1</w:t>
        </w:r>
        <w:r w:rsidRPr="002F332F">
          <w:rPr>
            <w:rStyle w:val="Hyperlink"/>
            <w:rFonts w:ascii="Times New Roman" w:hAnsi="Times New Roman" w:cs="Times New Roman"/>
          </w:rPr>
          <w:t>5/1.4071909</w:t>
        </w:r>
      </w:hyperlink>
    </w:p>
    <w:p w14:paraId="47155296" w14:textId="77777777" w:rsidR="00F85EA6" w:rsidRPr="002F332F" w:rsidRDefault="00F85EA6" w:rsidP="002F332F">
      <w:pPr>
        <w:jc w:val="both"/>
        <w:rPr>
          <w:rFonts w:ascii="Times New Roman" w:hAnsi="Times New Roman" w:cs="Times New Roman"/>
        </w:rPr>
      </w:pPr>
    </w:p>
    <w:p w14:paraId="180E2959" w14:textId="60C52B47" w:rsidR="00F85EA6" w:rsidRPr="002F332F" w:rsidRDefault="00000000" w:rsidP="002F332F">
      <w:pPr>
        <w:jc w:val="both"/>
        <w:rPr>
          <w:rFonts w:ascii="Times New Roman" w:hAnsi="Times New Roman" w:cs="Times New Roman"/>
          <w:b/>
          <w:bCs/>
        </w:rPr>
      </w:pPr>
      <w:r w:rsidRPr="002F332F">
        <w:rPr>
          <w:rFonts w:ascii="Times New Roman" w:hAnsi="Times New Roman" w:cs="Times New Roman"/>
          <w:b/>
          <w:bCs/>
        </w:rPr>
        <w:t xml:space="preserve">Section 4 </w:t>
      </w:r>
      <w:r w:rsidR="002F332F" w:rsidRPr="002F332F">
        <w:rPr>
          <w:rFonts w:ascii="Times New Roman" w:hAnsi="Times New Roman" w:cs="Times New Roman"/>
          <w:b/>
          <w:bCs/>
        </w:rPr>
        <w:t>-</w:t>
      </w:r>
      <w:r w:rsidRPr="002F332F">
        <w:rPr>
          <w:rFonts w:ascii="Times New Roman" w:hAnsi="Times New Roman" w:cs="Times New Roman"/>
          <w:b/>
          <w:bCs/>
        </w:rPr>
        <w:t xml:space="preserve"> Uncertainty: conformal prediction intervals + GPR variance</w:t>
      </w:r>
    </w:p>
    <w:p w14:paraId="72550189" w14:textId="70275AF4"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Angelopoulos, A.N. and Bates, S. (2023) ‘Conformal prediction: A gentle introduction’, Foundations and Trends in Machine Learning, 16(4), pp. 494–591. Available at: </w:t>
      </w:r>
      <w:hyperlink r:id="rId10" w:history="1">
        <w:r w:rsidRPr="002F332F">
          <w:rPr>
            <w:rStyle w:val="Hyperlink"/>
            <w:rFonts w:ascii="Times New Roman" w:hAnsi="Times New Roman" w:cs="Times New Roman"/>
          </w:rPr>
          <w:t>https://doi.org/10.</w:t>
        </w:r>
        <w:r w:rsidRPr="002F332F">
          <w:rPr>
            <w:rStyle w:val="Hyperlink"/>
            <w:rFonts w:ascii="Times New Roman" w:hAnsi="Times New Roman" w:cs="Times New Roman"/>
          </w:rPr>
          <w:t>1</w:t>
        </w:r>
        <w:r w:rsidRPr="002F332F">
          <w:rPr>
            <w:rStyle w:val="Hyperlink"/>
            <w:rFonts w:ascii="Times New Roman" w:hAnsi="Times New Roman" w:cs="Times New Roman"/>
          </w:rPr>
          <w:t>561/2200000101</w:t>
        </w:r>
      </w:hyperlink>
    </w:p>
    <w:p w14:paraId="4228EC8A" w14:textId="77777777" w:rsidR="00F85EA6" w:rsidRPr="002F332F" w:rsidRDefault="00000000" w:rsidP="002F332F">
      <w:pPr>
        <w:jc w:val="both"/>
        <w:rPr>
          <w:rFonts w:ascii="Times New Roman" w:hAnsi="Times New Roman" w:cs="Times New Roman"/>
        </w:rPr>
      </w:pPr>
      <w:r w:rsidRPr="002F332F">
        <w:rPr>
          <w:rFonts w:ascii="Times New Roman" w:hAnsi="Times New Roman" w:cs="Times New Roman"/>
        </w:rPr>
        <w:t>Angelopoulos, A.N. et al. (2024) ‘Conformal prediction: A data perspective’, arXiv:2410.06494.</w:t>
      </w:r>
    </w:p>
    <w:p w14:paraId="37074911" w14:textId="77777777" w:rsidR="00F85EA6" w:rsidRPr="002F332F" w:rsidRDefault="00000000" w:rsidP="002F332F">
      <w:pPr>
        <w:jc w:val="both"/>
        <w:rPr>
          <w:rFonts w:ascii="Times New Roman" w:hAnsi="Times New Roman" w:cs="Times New Roman"/>
        </w:rPr>
      </w:pPr>
      <w:r w:rsidRPr="002F332F">
        <w:rPr>
          <w:rFonts w:ascii="Times New Roman" w:hAnsi="Times New Roman" w:cs="Times New Roman"/>
        </w:rPr>
        <w:t>Kato, Y., Tax, D.M.J. and Loog, M. (2023) ‘A review of nonconformity measures for conformal prediction in regression’, Proceedings of Machine Learning Research, 204.</w:t>
      </w:r>
    </w:p>
    <w:p w14:paraId="2D8AF056" w14:textId="3C40B736"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Singh, G. et al. (2024) ‘Uncertainty quantification for probabilistic machine learning in earth observation using conformal prediction’, Scientific Reports, 14, 16166. Available at: </w:t>
      </w:r>
      <w:hyperlink r:id="rId11" w:history="1">
        <w:r w:rsidRPr="002F332F">
          <w:rPr>
            <w:rStyle w:val="Hyperlink"/>
            <w:rFonts w:ascii="Times New Roman" w:hAnsi="Times New Roman" w:cs="Times New Roman"/>
          </w:rPr>
          <w:t>https://doi.org/10</w:t>
        </w:r>
        <w:r w:rsidRPr="002F332F">
          <w:rPr>
            <w:rStyle w:val="Hyperlink"/>
            <w:rFonts w:ascii="Times New Roman" w:hAnsi="Times New Roman" w:cs="Times New Roman"/>
          </w:rPr>
          <w:t>.</w:t>
        </w:r>
        <w:r w:rsidRPr="002F332F">
          <w:rPr>
            <w:rStyle w:val="Hyperlink"/>
            <w:rFonts w:ascii="Times New Roman" w:hAnsi="Times New Roman" w:cs="Times New Roman"/>
          </w:rPr>
          <w:t>1038/s41598-024-65954-w</w:t>
        </w:r>
      </w:hyperlink>
    </w:p>
    <w:p w14:paraId="4632E0F1" w14:textId="77777777" w:rsidR="00F85EA6" w:rsidRPr="002F332F" w:rsidRDefault="00F85EA6" w:rsidP="002F332F">
      <w:pPr>
        <w:jc w:val="both"/>
        <w:rPr>
          <w:rFonts w:ascii="Times New Roman" w:hAnsi="Times New Roman" w:cs="Times New Roman"/>
        </w:rPr>
      </w:pPr>
    </w:p>
    <w:p w14:paraId="28EC6541" w14:textId="32390B77" w:rsidR="00F85EA6" w:rsidRPr="002F332F" w:rsidRDefault="00000000" w:rsidP="002F332F">
      <w:pPr>
        <w:jc w:val="both"/>
        <w:rPr>
          <w:rFonts w:ascii="Times New Roman" w:hAnsi="Times New Roman" w:cs="Times New Roman"/>
          <w:b/>
          <w:bCs/>
        </w:rPr>
      </w:pPr>
      <w:r w:rsidRPr="002F332F">
        <w:rPr>
          <w:rFonts w:ascii="Times New Roman" w:hAnsi="Times New Roman" w:cs="Times New Roman"/>
          <w:b/>
          <w:bCs/>
        </w:rPr>
        <w:t xml:space="preserve">Section 5 </w:t>
      </w:r>
      <w:r w:rsidR="002F332F" w:rsidRPr="002F332F">
        <w:rPr>
          <w:rFonts w:ascii="Times New Roman" w:hAnsi="Times New Roman" w:cs="Times New Roman"/>
          <w:b/>
          <w:bCs/>
        </w:rPr>
        <w:t>-</w:t>
      </w:r>
      <w:r w:rsidRPr="002F332F">
        <w:rPr>
          <w:rFonts w:ascii="Times New Roman" w:hAnsi="Times New Roman" w:cs="Times New Roman"/>
          <w:b/>
          <w:bCs/>
        </w:rPr>
        <w:t xml:space="preserve"> Closest end-to-end analogues</w:t>
      </w:r>
    </w:p>
    <w:p w14:paraId="0FF53114" w14:textId="5BAD62E6"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Cen, W. and Haas, P.J. (2023) ‘Efficient hybrid simulation optimization via graph neural network metamodeling’, 2023 Winter Simulation Conference (WSC), pp. 3541–3552. Available at: </w:t>
      </w:r>
      <w:hyperlink r:id="rId12" w:history="1">
        <w:r w:rsidRPr="002F332F">
          <w:rPr>
            <w:rStyle w:val="Hyperlink"/>
            <w:rFonts w:ascii="Times New Roman" w:hAnsi="Times New Roman" w:cs="Times New Roman"/>
          </w:rPr>
          <w:t>https://doi.or</w:t>
        </w:r>
        <w:r w:rsidRPr="002F332F">
          <w:rPr>
            <w:rStyle w:val="Hyperlink"/>
            <w:rFonts w:ascii="Times New Roman" w:hAnsi="Times New Roman" w:cs="Times New Roman"/>
          </w:rPr>
          <w:t>g</w:t>
        </w:r>
        <w:r w:rsidRPr="002F332F">
          <w:rPr>
            <w:rStyle w:val="Hyperlink"/>
            <w:rFonts w:ascii="Times New Roman" w:hAnsi="Times New Roman" w:cs="Times New Roman"/>
          </w:rPr>
          <w:t>/10.1109/WSC60868.2023.10408474</w:t>
        </w:r>
      </w:hyperlink>
    </w:p>
    <w:p w14:paraId="4C688429" w14:textId="3EFAC3F9"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Haas, P.J. and Cen, W. (2024) ‘Tutorial: Artificial neural networks for discrete-event simulation’, 2024 Winter Simulation Conference (WSC). Available at: </w:t>
      </w:r>
      <w:hyperlink r:id="rId13" w:history="1">
        <w:r w:rsidRPr="002F332F">
          <w:rPr>
            <w:rStyle w:val="Hyperlink"/>
            <w:rFonts w:ascii="Times New Roman" w:hAnsi="Times New Roman" w:cs="Times New Roman"/>
          </w:rPr>
          <w:t>https://doi.org/10.11</w:t>
        </w:r>
        <w:r w:rsidRPr="002F332F">
          <w:rPr>
            <w:rStyle w:val="Hyperlink"/>
            <w:rFonts w:ascii="Times New Roman" w:hAnsi="Times New Roman" w:cs="Times New Roman"/>
          </w:rPr>
          <w:t>0</w:t>
        </w:r>
        <w:r w:rsidRPr="002F332F">
          <w:rPr>
            <w:rStyle w:val="Hyperlink"/>
            <w:rFonts w:ascii="Times New Roman" w:hAnsi="Times New Roman" w:cs="Times New Roman"/>
          </w:rPr>
          <w:t>9/WSC63780.2024.10838940</w:t>
        </w:r>
      </w:hyperlink>
    </w:p>
    <w:p w14:paraId="60A30610" w14:textId="2ABDF5EE"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Kogler, C. and Maxera, P. (2025) ‘A literature review of supply chain analyses integrating discrete simulation modelling and machine learning’, Journal of Simulation. Available at: </w:t>
      </w:r>
      <w:hyperlink r:id="rId14" w:history="1">
        <w:r w:rsidRPr="002F332F">
          <w:rPr>
            <w:rStyle w:val="Hyperlink"/>
            <w:rFonts w:ascii="Times New Roman" w:hAnsi="Times New Roman" w:cs="Times New Roman"/>
          </w:rPr>
          <w:t>https://doi.org/10.108</w:t>
        </w:r>
        <w:r w:rsidRPr="002F332F">
          <w:rPr>
            <w:rStyle w:val="Hyperlink"/>
            <w:rFonts w:ascii="Times New Roman" w:hAnsi="Times New Roman" w:cs="Times New Roman"/>
          </w:rPr>
          <w:t>0</w:t>
        </w:r>
        <w:r w:rsidRPr="002F332F">
          <w:rPr>
            <w:rStyle w:val="Hyperlink"/>
            <w:rFonts w:ascii="Times New Roman" w:hAnsi="Times New Roman" w:cs="Times New Roman"/>
          </w:rPr>
          <w:t>/17477778.2025.2500393</w:t>
        </w:r>
      </w:hyperlink>
    </w:p>
    <w:p w14:paraId="692C869A" w14:textId="194763F2" w:rsidR="00F85EA6" w:rsidRPr="002F332F" w:rsidRDefault="00000000" w:rsidP="002F332F">
      <w:pPr>
        <w:jc w:val="both"/>
        <w:rPr>
          <w:rFonts w:ascii="Times New Roman" w:hAnsi="Times New Roman" w:cs="Times New Roman"/>
        </w:rPr>
      </w:pPr>
      <w:r w:rsidRPr="002F332F">
        <w:rPr>
          <w:rFonts w:ascii="Times New Roman" w:hAnsi="Times New Roman" w:cs="Times New Roman"/>
        </w:rPr>
        <w:t xml:space="preserve">Liu, Z. and Nishi, T. (2024) ‘Surrogate-assisted evolutionary computation for distributed simulation-based inventory optimization in serial supply chains’, 2024 IEEE Congress on </w:t>
      </w:r>
      <w:r w:rsidRPr="002F332F">
        <w:rPr>
          <w:rFonts w:ascii="Times New Roman" w:hAnsi="Times New Roman" w:cs="Times New Roman"/>
        </w:rPr>
        <w:lastRenderedPageBreak/>
        <w:t>Evolutionary Computation (CEC). Available at:</w:t>
      </w:r>
      <w:r w:rsidR="002F332F">
        <w:rPr>
          <w:rFonts w:ascii="Times New Roman" w:hAnsi="Times New Roman" w:cs="Times New Roman"/>
        </w:rPr>
        <w:t xml:space="preserve"> </w:t>
      </w:r>
      <w:hyperlink r:id="rId15" w:history="1">
        <w:r w:rsidRPr="002F332F">
          <w:rPr>
            <w:rStyle w:val="Hyperlink"/>
            <w:rFonts w:ascii="Times New Roman" w:hAnsi="Times New Roman" w:cs="Times New Roman"/>
          </w:rPr>
          <w:t>https://doi.org/10.1</w:t>
        </w:r>
        <w:r w:rsidRPr="002F332F">
          <w:rPr>
            <w:rStyle w:val="Hyperlink"/>
            <w:rFonts w:ascii="Times New Roman" w:hAnsi="Times New Roman" w:cs="Times New Roman"/>
          </w:rPr>
          <w:t>1</w:t>
        </w:r>
        <w:r w:rsidRPr="002F332F">
          <w:rPr>
            <w:rStyle w:val="Hyperlink"/>
            <w:rFonts w:ascii="Times New Roman" w:hAnsi="Times New Roman" w:cs="Times New Roman"/>
          </w:rPr>
          <w:t>09/CEC60901.2024.10612189</w:t>
        </w:r>
      </w:hyperlink>
    </w:p>
    <w:sectPr w:rsidR="00F85EA6" w:rsidRPr="002F33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815235"/>
    <w:multiLevelType w:val="hybridMultilevel"/>
    <w:tmpl w:val="F9C4961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713907"/>
    <w:multiLevelType w:val="hybridMultilevel"/>
    <w:tmpl w:val="7E90E73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C512CF0"/>
    <w:multiLevelType w:val="hybridMultilevel"/>
    <w:tmpl w:val="DB944F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D7469A"/>
    <w:multiLevelType w:val="hybridMultilevel"/>
    <w:tmpl w:val="6636B34E"/>
    <w:lvl w:ilvl="0" w:tplc="448866C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916AD1"/>
    <w:multiLevelType w:val="hybridMultilevel"/>
    <w:tmpl w:val="608C3F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D16786D"/>
    <w:multiLevelType w:val="hybridMultilevel"/>
    <w:tmpl w:val="6946441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73432859">
    <w:abstractNumId w:val="8"/>
  </w:num>
  <w:num w:numId="2" w16cid:durableId="1711686907">
    <w:abstractNumId w:val="6"/>
  </w:num>
  <w:num w:numId="3" w16cid:durableId="1808164115">
    <w:abstractNumId w:val="5"/>
  </w:num>
  <w:num w:numId="4" w16cid:durableId="1441680702">
    <w:abstractNumId w:val="4"/>
  </w:num>
  <w:num w:numId="5" w16cid:durableId="1104769227">
    <w:abstractNumId w:val="7"/>
  </w:num>
  <w:num w:numId="6" w16cid:durableId="364403876">
    <w:abstractNumId w:val="3"/>
  </w:num>
  <w:num w:numId="7" w16cid:durableId="932589604">
    <w:abstractNumId w:val="2"/>
  </w:num>
  <w:num w:numId="8" w16cid:durableId="711269632">
    <w:abstractNumId w:val="1"/>
  </w:num>
  <w:num w:numId="9" w16cid:durableId="1932619928">
    <w:abstractNumId w:val="0"/>
  </w:num>
  <w:num w:numId="10" w16cid:durableId="1702823983">
    <w:abstractNumId w:val="13"/>
  </w:num>
  <w:num w:numId="11" w16cid:durableId="366028928">
    <w:abstractNumId w:val="11"/>
  </w:num>
  <w:num w:numId="12" w16cid:durableId="353698395">
    <w:abstractNumId w:val="9"/>
  </w:num>
  <w:num w:numId="13" w16cid:durableId="1232618831">
    <w:abstractNumId w:val="14"/>
  </w:num>
  <w:num w:numId="14" w16cid:durableId="1016418924">
    <w:abstractNumId w:val="10"/>
  </w:num>
  <w:num w:numId="15" w16cid:durableId="6311775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AAC"/>
    <w:rsid w:val="0029639D"/>
    <w:rsid w:val="002F332F"/>
    <w:rsid w:val="00326F90"/>
    <w:rsid w:val="00747EBE"/>
    <w:rsid w:val="00AA1D8D"/>
    <w:rsid w:val="00B47730"/>
    <w:rsid w:val="00CB0664"/>
    <w:rsid w:val="00F85E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02AEA"/>
  <w14:defaultImageDpi w14:val="300"/>
  <w15:docId w15:val="{45374242-3F04-6D43-90ED-C87BEFD9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332F"/>
    <w:rPr>
      <w:color w:val="0000FF" w:themeColor="hyperlink"/>
      <w:u w:val="single"/>
    </w:rPr>
  </w:style>
  <w:style w:type="character" w:styleId="UnresolvedMention">
    <w:name w:val="Unresolved Mention"/>
    <w:basedOn w:val="DefaultParagraphFont"/>
    <w:uiPriority w:val="99"/>
    <w:semiHidden/>
    <w:unhideWhenUsed/>
    <w:rsid w:val="002F332F"/>
    <w:rPr>
      <w:color w:val="605E5C"/>
      <w:shd w:val="clear" w:color="auto" w:fill="E1DFDD"/>
    </w:rPr>
  </w:style>
  <w:style w:type="character" w:styleId="FollowedHyperlink">
    <w:name w:val="FollowedHyperlink"/>
    <w:basedOn w:val="DefaultParagraphFont"/>
    <w:uiPriority w:val="99"/>
    <w:semiHidden/>
    <w:unhideWhenUsed/>
    <w:rsid w:val="002F33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w16162274" TargetMode="External"/><Relationship Id="rId13" Type="http://schemas.openxmlformats.org/officeDocument/2006/relationships/hyperlink" Target="https://doi.org/10.1109/WSC63780.2024.10838940" TargetMode="External"/><Relationship Id="rId3" Type="http://schemas.openxmlformats.org/officeDocument/2006/relationships/styles" Target="styles.xml"/><Relationship Id="rId7" Type="http://schemas.openxmlformats.org/officeDocument/2006/relationships/hyperlink" Target="https://doi.org/10.1080/00401706.2024.2322651" TargetMode="External"/><Relationship Id="rId12" Type="http://schemas.openxmlformats.org/officeDocument/2006/relationships/hyperlink" Target="https://doi.org/10.1109/WSC60868.2023.1040847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andfonline.com/journals/ujqt20" TargetMode="External"/><Relationship Id="rId11" Type="http://schemas.openxmlformats.org/officeDocument/2006/relationships/hyperlink" Target="https://doi.org/10.1038/s41598-024-65954-w" TargetMode="External"/><Relationship Id="rId5" Type="http://schemas.openxmlformats.org/officeDocument/2006/relationships/webSettings" Target="webSettings.xml"/><Relationship Id="rId15" Type="http://schemas.openxmlformats.org/officeDocument/2006/relationships/hyperlink" Target="https://doi.org/10.1109/CEC60901.2024.10612189" TargetMode="External"/><Relationship Id="rId10" Type="http://schemas.openxmlformats.org/officeDocument/2006/relationships/hyperlink" Target="https://doi.org/10.1561/2200000101" TargetMode="External"/><Relationship Id="rId4" Type="http://schemas.openxmlformats.org/officeDocument/2006/relationships/settings" Target="settings.xml"/><Relationship Id="rId9" Type="http://schemas.openxmlformats.org/officeDocument/2006/relationships/hyperlink" Target="https://doi.org/10.1115/1.4071909" TargetMode="External"/><Relationship Id="rId14" Type="http://schemas.openxmlformats.org/officeDocument/2006/relationships/hyperlink" Target="https://doi.org/10.1080/17477778.2025.2500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4024</Words>
  <Characters>22942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D</cp:lastModifiedBy>
  <cp:revision>2</cp:revision>
  <dcterms:created xsi:type="dcterms:W3CDTF">2013-12-23T23:15:00Z</dcterms:created>
  <dcterms:modified xsi:type="dcterms:W3CDTF">2026-07-19T00:40:00Z</dcterms:modified>
  <cp:category/>
</cp:coreProperties>
</file>