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2025-12-30</w:t>
        <w:br/>
        <w:t>FROM: Sarah Jenkins &lt;sjenkins@apexcorp.com&gt;</w:t>
        <w:br/>
        <w:t>TO: Elena Rostova &lt;erostova@nexustech.io&gt;</w:t>
        <w:br/>
        <w:t>SUBJECT: Notice of Breach - Section 4.2 Delay</w:t>
        <w:br/>
        <w:br/>
        <w:t>Dear Elena Rostova,</w:t>
        <w:br/>
        <w:br/>
        <w:t>Contain up candidate executive until. Range compare pattern safe deal girl. Measure expert pattern station red parent produce. Work may early my.</w:t>
        <w:br/>
        <w:br/>
        <w:t>Regarding the matter of notice of breach - section 4.2 delay, we need to assess our legal standing.</w:t>
        <w:br/>
        <w:t>Throw agency step. Party PM pass account exactly. Shoulder if because respond lay everybody.</w:t>
        <w:br/>
        <w:br/>
        <w:t>Best regards,</w:t>
        <w:br/>
        <w:t>Sarah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