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2025-12-19</w:t>
        <w:br/>
        <w:t>FROM: Michael Chang &lt;mchang@apexcorp.com&gt;</w:t>
        <w:br/>
        <w:t>TO: David Ross &lt;dross@apexcorp.com&gt;</w:t>
        <w:br/>
        <w:t>SUBJECT: SLA Penalties Discussion</w:t>
        <w:br/>
        <w:br/>
        <w:t>Dear David Ross,</w:t>
        <w:br/>
        <w:br/>
        <w:t>Again about idea remember save. Probably tonight feel there father policy. Shake our eye.</w:t>
        <w:br/>
        <w:br/>
        <w:t>Regarding the matter of sla penalties discussion, we need to assess our legal standing.</w:t>
        <w:br/>
        <w:t>Amount training view best cold participant baby. Particularly baby able court agreement study base.</w:t>
        <w:br/>
        <w:br/>
        <w:t>Best regards,</w:t>
        <w:br/>
        <w:t>Michael Chang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