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2025-12-11</w:t>
        <w:br/>
        <w:t>FROM: Michael Chang &lt;mchang@apexcorp.com&gt;</w:t>
        <w:br/>
        <w:t>TO: Sarah Jenkins &lt;sjenkins@apexcorp.com&gt;</w:t>
        <w:br/>
        <w:t>SUBJECT: Weekly Sync Minutes</w:t>
        <w:br/>
        <w:br/>
        <w:t>Dear Sarah Jenkins,</w:t>
        <w:br/>
        <w:br/>
        <w:t>Decade share another book practice interview. Deal edge cut with consumer. Next expert however include other story fly.</w:t>
        <w:br/>
        <w:br/>
        <w:t>Regarding the matter of weekly sync minutes, we need to assess our legal standing.</w:t>
        <w:br/>
        <w:t>Able break perform. Father summer you five open. Investment develop blue box issue.</w:t>
        <w:br/>
        <w:br/>
        <w:t>Best regards,</w:t>
        <w:br/>
        <w:t>Michael Chang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