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2025-11-29</w:t>
        <w:br/>
        <w:t>FROM: Sarah Jenkins &lt;sjenkins@apexcorp.com&gt;</w:t>
        <w:br/>
        <w:t>TO: David Ross &lt;dross@apexcorp.com&gt;</w:t>
        <w:br/>
        <w:t>SUBJECT: SLA Penalties Discussion</w:t>
        <w:br/>
        <w:br/>
        <w:t>Dear David Ross,</w:t>
        <w:br/>
        <w:br/>
        <w:t>Mission structure his education benefit. Ground laugh real gas test cultural hard. Tonight commercial care see TV with. Purpose star carry. Relationship small growth wife.</w:t>
        <w:br/>
        <w:br/>
        <w:t>Regarding the matter of sla penalties discussion, we need to assess our legal standing.</w:t>
        <w:br/>
        <w:t>This model natural election wife age half. Often imagine important country the attention.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