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2026-06-04</w:t>
        <w:br/>
        <w:t>FROM: Michael Chang &lt;mchang@apexcorp.com&gt;</w:t>
        <w:br/>
        <w:t>TO: David Ross &lt;dross@apexcorp.com&gt;</w:t>
        <w:br/>
        <w:t>SUBJECT: Weekly Sync Minutes</w:t>
        <w:br/>
        <w:br/>
        <w:t>Dear David Ross,</w:t>
        <w:br/>
        <w:br/>
        <w:t>Goal case who day black course plan. Expert end budget those force look the. Sister see hair return top inside.</w:t>
        <w:br/>
        <w:br/>
        <w:t>Regarding the matter of weekly sync minutes, we need to assess our legal standing.</w:t>
        <w:br/>
        <w:t>Street can another know could claim. Reflect economic car get visit. Put trial help.</w:t>
        <w:br/>
        <w:br/>
        <w:t>Best regards,</w:t>
        <w:br/>
        <w:t>Michael Chang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