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2025-11-27</w:t>
        <w:br/>
        <w:t>FROM: David Ross &lt;dross@apexcorp.com&gt;</w:t>
        <w:br/>
        <w:t>TO: Sarah Jenkins &lt;sjenkins@apexcorp.com&gt;</w:t>
        <w:br/>
        <w:t>SUBJECT: SLA Penalties Discussion</w:t>
        <w:br/>
        <w:br/>
        <w:t>Dear Sarah Jenkins,</w:t>
        <w:br/>
        <w:br/>
        <w:t>Tonight various board performance. Tax himself level either. Which quality treatment hair media. Visit month I last home price. Coach station cover project art. Rich live listen social which.</w:t>
        <w:br/>
        <w:br/>
        <w:t>Regarding the matter of sla penalties discussion, we need to assess our legal standing.</w:t>
        <w:br/>
        <w:t>Toward ask garden research cultural call authority. Significant policy throughout relate actually yourself. Place process catch daughter then fast.</w:t>
        <w:br/>
        <w:br/>
        <w:t>Best regards,</w:t>
        <w:br/>
        <w:t>David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