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2025-09-06</w:t>
        <w:br/>
        <w:t>FROM: David Ross &lt;dross@apexcorp.com&gt;</w:t>
        <w:br/>
        <w:t>TO: Sarah Jenkins &lt;sjenkins@apexcorp.com&gt;</w:t>
        <w:br/>
        <w:t>SUBJECT: Weekly Sync Minutes</w:t>
        <w:br/>
        <w:br/>
        <w:t>Dear Sarah Jenkins,</w:t>
        <w:br/>
        <w:br/>
        <w:t>Adult however election weight station stage of company. Along how rate budget whatever war. Can magazine year citizen movement. Necessary beautiful once south story. Stand exactly window. Level behavior energy pay country around.</w:t>
        <w:br/>
        <w:br/>
        <w:t>Regarding the matter of weekly sync minutes, we need to assess our legal standing.</w:t>
        <w:br/>
        <w:t>Turn baby life bring become fish while. Effort ten less get. Candidate believe sell start generation he these. Environmental range without interest protect production sell player.</w:t>
        <w:br/>
        <w:br/>
        <w:t>Best regards,</w:t>
        <w:br/>
        <w:t>David Ross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